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A1" w:rsidRPr="005C47DE" w:rsidRDefault="00CA68B3" w:rsidP="00336716">
      <w:pPr>
        <w:spacing w:line="360" w:lineRule="auto"/>
        <w:jc w:val="center"/>
        <w:rPr>
          <w:b/>
          <w:bCs/>
        </w:rPr>
      </w:pPr>
      <w:r w:rsidRPr="005C47DE">
        <w:rPr>
          <w:b/>
          <w:bCs/>
        </w:rPr>
        <w:t>ОСНОВНЫЕ НАПРАВЛЕНИЯ</w:t>
      </w:r>
    </w:p>
    <w:p w:rsidR="00801AA1" w:rsidRPr="005C47DE" w:rsidRDefault="00CA68B3" w:rsidP="00336716">
      <w:pPr>
        <w:spacing w:line="360" w:lineRule="auto"/>
        <w:jc w:val="center"/>
      </w:pPr>
      <w:r w:rsidRPr="005C47DE">
        <w:rPr>
          <w:b/>
          <w:bCs/>
        </w:rPr>
        <w:t xml:space="preserve">НАЛОГОВОЙ И БЮДЖЕТНОЙ ПОЛИТИКИ НЯЗЕПЕТРОВСКОГО МУНИЦИПАЛЬНОГО РАЙОНА НА 2019-2021 ГОДЫ </w:t>
      </w:r>
    </w:p>
    <w:p w:rsidR="00801AA1" w:rsidRPr="005C47DE" w:rsidRDefault="00801AA1" w:rsidP="00336716">
      <w:pPr>
        <w:spacing w:line="360" w:lineRule="auto"/>
        <w:jc w:val="center"/>
        <w:rPr>
          <w:b/>
          <w:bCs/>
        </w:rPr>
      </w:pPr>
    </w:p>
    <w:p w:rsidR="00801AA1" w:rsidRPr="005C47DE" w:rsidRDefault="00CA68B3" w:rsidP="00336716">
      <w:pPr>
        <w:spacing w:line="360" w:lineRule="auto"/>
        <w:jc w:val="both"/>
      </w:pPr>
      <w:r w:rsidRPr="005C47DE">
        <w:tab/>
        <w:t xml:space="preserve">Основные направления налоговой и бюджетной политики Нязепетровского муниципального района  на 2019 год и плановый период 2020 </w:t>
      </w:r>
      <w:r w:rsidR="005176DB">
        <w:t xml:space="preserve">и </w:t>
      </w:r>
      <w:r w:rsidRPr="005C47DE">
        <w:t>2021 годов разработаны в соответствии со статьей 172 Бюджетного кодекса Российской Федерации, статьями 8 и 24 решения Собрания депутатов муниципального района  «О бюджетном процессе в Нязепетровском муниципальном</w:t>
      </w:r>
      <w:r w:rsidR="00864DBC" w:rsidRPr="005C47DE">
        <w:t xml:space="preserve"> районе</w:t>
      </w:r>
      <w:r w:rsidRPr="005C47DE">
        <w:t xml:space="preserve">». </w:t>
      </w:r>
    </w:p>
    <w:p w:rsidR="00801AA1" w:rsidRPr="005C47DE" w:rsidRDefault="00CA68B3" w:rsidP="00336716">
      <w:pPr>
        <w:spacing w:line="360" w:lineRule="auto"/>
        <w:ind w:firstLine="709"/>
        <w:jc w:val="both"/>
      </w:pPr>
      <w:r w:rsidRPr="005C47DE">
        <w:t>При подготовке  основных направлений были учтены:</w:t>
      </w:r>
    </w:p>
    <w:p w:rsidR="00801AA1" w:rsidRPr="005C47DE" w:rsidRDefault="00CA68B3" w:rsidP="00336716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C47DE">
        <w:t>положения послания Президента Российской Федерации Федеральному Собранию Российской Федерации от 1 марта 2018 года;</w:t>
      </w:r>
    </w:p>
    <w:p w:rsidR="00801AA1" w:rsidRPr="005C47DE" w:rsidRDefault="00CA68B3" w:rsidP="00336716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C47DE">
        <w:t>Указ Президента Российской Федерации от 7 мая 201</w:t>
      </w:r>
      <w:r w:rsidR="005176DB">
        <w:t>8</w:t>
      </w:r>
      <w:r w:rsidRPr="005C47DE">
        <w:t xml:space="preserve"> года</w:t>
      </w:r>
      <w:r w:rsidR="005176DB">
        <w:t xml:space="preserve"> № 204 </w:t>
      </w:r>
      <w:r w:rsidRPr="005C47DE">
        <w:t>«О национальных целях и стратегических задачах развития Российской Федерации на период до 2024 года»;</w:t>
      </w:r>
    </w:p>
    <w:p w:rsidR="00801AA1" w:rsidRPr="005C47DE" w:rsidRDefault="00CA68B3" w:rsidP="00336716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C47DE">
        <w:t>Указы Президента Российской Федерации от  2012 года;</w:t>
      </w:r>
    </w:p>
    <w:p w:rsidR="00801AA1" w:rsidRPr="005C47DE" w:rsidRDefault="00CA68B3" w:rsidP="00336716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C47DE">
        <w:t xml:space="preserve">проекты основных направлений бюджетной, налоговой и </w:t>
      </w:r>
      <w:proofErr w:type="spellStart"/>
      <w:r w:rsidRPr="005C47DE">
        <w:t>таможенно-тарифной</w:t>
      </w:r>
      <w:proofErr w:type="spellEnd"/>
      <w:r w:rsidRPr="005C47DE">
        <w:t xml:space="preserve"> политики Российской федерации на 2019 год и на плановый период 2020 и 2021 годов;</w:t>
      </w:r>
    </w:p>
    <w:p w:rsidR="00801AA1" w:rsidRPr="005C47DE" w:rsidRDefault="00CA68B3" w:rsidP="00336716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C47DE">
        <w:t>задачи и приоритеты социально-экономического развития Челябинской области, определённые Стратегией социально-экономического развития Челябинской области до 2020 года;</w:t>
      </w:r>
    </w:p>
    <w:p w:rsidR="00801AA1" w:rsidRPr="005C47DE" w:rsidRDefault="00CA68B3" w:rsidP="00336716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C47DE">
        <w:t>стратегия социально-экономического развития Нязепетровского муниципального района на период до 2030 года.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Бюджетная и налоговая политика в предстоящем периоде сохранит нацеленность на реализацию приоритетных задач социально-экономического развития Нязепетровского муниципального района, в том числе обеспечивающих  рост благосостояния и повышение качества жизни граждан, создание комфортных условий для их проживания и возможностей для самореализации  каждого человека.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Необходимым условием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расходов.</w:t>
      </w:r>
    </w:p>
    <w:p w:rsidR="00801AA1" w:rsidRPr="005C47DE" w:rsidRDefault="00CA68B3" w:rsidP="00336716">
      <w:pPr>
        <w:spacing w:line="360" w:lineRule="auto"/>
        <w:jc w:val="both"/>
      </w:pPr>
      <w:r w:rsidRPr="005C47DE">
        <w:tab/>
        <w:t>Для достижения этих целей будет продолжено применение мер, направленных на развитие доходной базы района, концентрацию имеющихся ресурсов на приоритетных направлениях социально-экономического развития Нязепетровского муниципального района, повышение эффективности бюджетных расходов.</w:t>
      </w:r>
    </w:p>
    <w:p w:rsidR="00801AA1" w:rsidRDefault="00801AA1" w:rsidP="00336716">
      <w:pPr>
        <w:pStyle w:val="ab"/>
        <w:spacing w:line="360" w:lineRule="auto"/>
        <w:jc w:val="center"/>
        <w:rPr>
          <w:sz w:val="24"/>
          <w:szCs w:val="24"/>
        </w:rPr>
      </w:pPr>
    </w:p>
    <w:p w:rsidR="00801AA1" w:rsidRPr="005C47DE" w:rsidRDefault="00CA68B3" w:rsidP="00336716">
      <w:pPr>
        <w:pStyle w:val="ab"/>
        <w:spacing w:line="360" w:lineRule="auto"/>
        <w:jc w:val="center"/>
        <w:rPr>
          <w:sz w:val="24"/>
          <w:szCs w:val="24"/>
        </w:rPr>
      </w:pPr>
      <w:r w:rsidRPr="005C47DE">
        <w:rPr>
          <w:sz w:val="24"/>
          <w:szCs w:val="24"/>
        </w:rPr>
        <w:lastRenderedPageBreak/>
        <w:t xml:space="preserve">ОСНОВНЫЕ НАПРАВЛЕНИЯ НАЛОГОВОЙ ПОЛИТИКИ НЯЗЕПЕТРОВСКОГО МУНИЦИПАЛЬНОГО РАЙОНА НА 2019-2021 ГОДЫ </w:t>
      </w:r>
    </w:p>
    <w:p w:rsidR="00801AA1" w:rsidRPr="005C47DE" w:rsidRDefault="00801AA1" w:rsidP="00336716">
      <w:pPr>
        <w:pStyle w:val="a8"/>
        <w:spacing w:line="360" w:lineRule="auto"/>
        <w:ind w:firstLine="360"/>
        <w:rPr>
          <w:sz w:val="24"/>
        </w:rPr>
      </w:pP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ab/>
        <w:t>Налоговая политика Нязепетровского муниципального района в предстоящем периоде направлена на  дальнейшее укрепление собственной доходной базы - обеспечение условий для полного и стабильного поступления в бюджет налогов, сохранение бюджетной устойчивости и обеспечение роста доходов бюджета Нязепетровского муниципального района для выполнения его расходных обязательств.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ab/>
        <w:t>Основными мероприятиями для решения этой задачи, с учётом ранее принятых мер в 2017-2018 годах, определено следующее: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обеспечение сбалансированности бюджета муниципального района за счёт увеличения его доходной базы;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организация работы по снижению резервов налоговых и неналоговых доходов бюджета;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 xml:space="preserve">- организация эффективного взаимодействия органов местного самоуправления муниципального района и межрайонной инспекции федеральной налоговой службы  по Челябинской области с целью обеспечения своевременного поступления платежей в бюджет, увеличения налогооблагаемой базы; 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 xml:space="preserve">- </w:t>
      </w:r>
      <w:r w:rsidRPr="005C47DE">
        <w:rPr>
          <w:color w:val="000000"/>
          <w:sz w:val="24"/>
        </w:rPr>
        <w:t>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проведение мероприятий по повышению эффективности управления муниципальной собственностью и увеличение доходов от их использования;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проведение инвентаризации муниципального недвижимого имущества и внесение предложений по результатам инвентаризации в части его дальнейшего использования.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ab/>
        <w:t>Необходимо продолжать системную работу по укреплению доходной базы бюджета по следующим направлениям: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  реализация мер по обеспечению своевременной уплаты налога на доходы физических лиц и легализации заработной платы;</w:t>
      </w:r>
    </w:p>
    <w:p w:rsidR="00801AA1" w:rsidRPr="005C47DE" w:rsidRDefault="00CA68B3" w:rsidP="00336716">
      <w:pPr>
        <w:spacing w:line="360" w:lineRule="auto"/>
        <w:jc w:val="both"/>
      </w:pPr>
      <w:r w:rsidRPr="005C47DE">
        <w:t>- проведение совместно с налоговой службой  индивидуальной работы с работодателями, которые выплачивают заработную плату ниже среднего показателя по виду экономической деятельности, а в отдельных организациях - ниже прожиточного минимума;</w:t>
      </w:r>
    </w:p>
    <w:p w:rsidR="00801AA1" w:rsidRPr="005C47DE" w:rsidRDefault="00CA68B3" w:rsidP="00336716">
      <w:pPr>
        <w:spacing w:line="360" w:lineRule="auto"/>
        <w:jc w:val="both"/>
      </w:pPr>
      <w:r w:rsidRPr="005C47DE">
        <w:t>- выявление неформальной занятости на предприятиях и организациях, осуществляющих свою деятельность на территории  Нязепетровского муниципального района;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анализ обоснованности и эффективности применения налоговых льгот с учетом организации ведомственного учета сведений, отсутствующих в налоговой отчетности и необходимых для проведения соответствующих расчетов;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lastRenderedPageBreak/>
        <w:t>- содействие сокращению задолженности по налогам, сборам и иным обязательным платежам в бюджет Нязепетровского муниципального района и повышению уровня их собираемости в рамках межведомственной рабочей группы по увеличению наполняемости бюджета собственными доходами;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 xml:space="preserve">-    продолжение </w:t>
      </w:r>
      <w:proofErr w:type="spellStart"/>
      <w:r w:rsidRPr="005C47DE">
        <w:rPr>
          <w:sz w:val="24"/>
        </w:rPr>
        <w:t>претензионно</w:t>
      </w:r>
      <w:proofErr w:type="spellEnd"/>
      <w:r w:rsidRPr="005C47DE">
        <w:rPr>
          <w:sz w:val="24"/>
        </w:rPr>
        <w:t>- исковой работы с неплательщиками налогов, сборов и иных обязательных платежей и осуществление мер принудительного взыскания задолженности;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обеспечение роста доходов бюджета от использования имущества, находящегося в собственности муниципального района, в том числе по результатам его инвентаризации;</w:t>
      </w:r>
    </w:p>
    <w:p w:rsidR="00801AA1" w:rsidRPr="005C47DE" w:rsidRDefault="00CA68B3" w:rsidP="00336716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работа с неиспользуемым (бесхозяйным) имуществом;</w:t>
      </w:r>
    </w:p>
    <w:p w:rsidR="00801AA1" w:rsidRPr="005C47DE" w:rsidRDefault="00CA68B3" w:rsidP="002F2DCF">
      <w:pPr>
        <w:pStyle w:val="a8"/>
        <w:spacing w:line="360" w:lineRule="auto"/>
        <w:ind w:firstLine="360"/>
        <w:rPr>
          <w:sz w:val="24"/>
        </w:rPr>
      </w:pPr>
      <w:r w:rsidRPr="005C47DE">
        <w:rPr>
          <w:sz w:val="24"/>
        </w:rPr>
        <w:t>-  выявление законченных объектов строительства недвижимости с целью постановки на учёт в органах, осуществляющих регистрацию прав на недвижимое имущество и сделок с ним.</w:t>
      </w:r>
    </w:p>
    <w:p w:rsidR="00801AA1" w:rsidRPr="005C47DE" w:rsidRDefault="00CA68B3" w:rsidP="00336716">
      <w:pPr>
        <w:pStyle w:val="ab"/>
        <w:spacing w:line="360" w:lineRule="auto"/>
        <w:jc w:val="center"/>
        <w:rPr>
          <w:sz w:val="24"/>
          <w:szCs w:val="24"/>
        </w:rPr>
      </w:pPr>
      <w:r w:rsidRPr="005C47DE">
        <w:rPr>
          <w:sz w:val="24"/>
          <w:szCs w:val="24"/>
        </w:rPr>
        <w:t xml:space="preserve">ОСНОВНЫЕ НАПРАВЛЕНИЯ БЮДЖЕТНОЙ ПОЛИТИКИ НЯЗЕПЕТРОВСКОГО МУНИЦИПАЛЬНОГО РАЙОНА В 2019-2021 ГОДАХ </w:t>
      </w:r>
    </w:p>
    <w:p w:rsidR="00801AA1" w:rsidRPr="005C47DE" w:rsidRDefault="00801AA1" w:rsidP="00336716">
      <w:pPr>
        <w:pStyle w:val="ab"/>
        <w:spacing w:line="360" w:lineRule="auto"/>
        <w:jc w:val="center"/>
        <w:rPr>
          <w:sz w:val="24"/>
          <w:szCs w:val="24"/>
        </w:rPr>
      </w:pP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Бюджетная политика в 2017 году и  текущем периоде 2018 года  обеспечивала устойчивое и сбалансированное исполнение бюджета Нязепетровского муниципального района, а так же была направлена на дальнейшее</w:t>
      </w:r>
      <w:r w:rsidR="00336716" w:rsidRPr="005C47DE">
        <w:rPr>
          <w:sz w:val="24"/>
          <w:szCs w:val="24"/>
        </w:rPr>
        <w:t xml:space="preserve"> укрепление бюджетной устойчивости</w:t>
      </w:r>
      <w:r w:rsidRPr="005C47DE">
        <w:rPr>
          <w:sz w:val="24"/>
          <w:szCs w:val="24"/>
        </w:rPr>
        <w:t xml:space="preserve"> Нязепетр</w:t>
      </w:r>
      <w:r w:rsidR="00336716" w:rsidRPr="005C47DE">
        <w:rPr>
          <w:sz w:val="24"/>
          <w:szCs w:val="24"/>
        </w:rPr>
        <w:t>овского муниципального района.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 xml:space="preserve">Бюджет Нязепетровского муниципального района  сохранил социальную направленность. Расходные обязательства исполнялись своевременно, о чём говорит отсутствие по ним просроченной кредиторской задолженности. Формирование и исполнение бюджета в 2017 -2018 году осуществлялось в разрезе муниципальных программ, определяющих конкретные результаты использования бюджетных средств с применением программно-целевых методов бюджетного планирования. 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Бюджетная политика на 2019-2021 годы  сохранит свои приоритеты и будет направлена на решение следующих основных задач:</w:t>
      </w:r>
    </w:p>
    <w:p w:rsidR="002F2DE2" w:rsidRPr="005C47DE" w:rsidRDefault="00ED62E8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 xml:space="preserve">- </w:t>
      </w:r>
      <w:r w:rsidR="00C0660C" w:rsidRPr="005C47DE">
        <w:rPr>
          <w:sz w:val="24"/>
          <w:szCs w:val="24"/>
        </w:rPr>
        <w:t>создание необходимых условий для безусловного выполнения положений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bookmarkStart w:id="0" w:name="page15"/>
      <w:bookmarkEnd w:id="0"/>
      <w:r w:rsidR="002F2DE2" w:rsidRPr="005C47DE">
        <w:rPr>
          <w:sz w:val="24"/>
          <w:szCs w:val="24"/>
        </w:rPr>
        <w:t>;</w:t>
      </w:r>
    </w:p>
    <w:p w:rsidR="00C0660C" w:rsidRPr="005C47DE" w:rsidRDefault="00ED62E8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- п</w:t>
      </w:r>
      <w:r w:rsidR="00C0660C" w:rsidRPr="005C47DE">
        <w:rPr>
          <w:sz w:val="24"/>
          <w:szCs w:val="24"/>
        </w:rPr>
        <w:t>ересмотр структуры расходов бюджета с целью выделения приоритетных направлений, нацеленных на реализацию Указа Президента Российской Федерации от 7 мая 2018 года № 204, с соответствующим структурированием расходов по при</w:t>
      </w:r>
      <w:r w:rsidR="002F2DE2" w:rsidRPr="005C47DE">
        <w:rPr>
          <w:sz w:val="24"/>
          <w:szCs w:val="24"/>
        </w:rPr>
        <w:t>оритетным национальным проектам;</w:t>
      </w:r>
    </w:p>
    <w:p w:rsidR="00C0660C" w:rsidRPr="005C47DE" w:rsidRDefault="00ED62E8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- о</w:t>
      </w:r>
      <w:r w:rsidR="00C0660C" w:rsidRPr="005C47DE">
        <w:rPr>
          <w:sz w:val="24"/>
          <w:szCs w:val="24"/>
        </w:rPr>
        <w:t xml:space="preserve">беспечение сбалансированности бюджета </w:t>
      </w:r>
      <w:r w:rsidRPr="005C47DE">
        <w:rPr>
          <w:sz w:val="24"/>
          <w:szCs w:val="24"/>
        </w:rPr>
        <w:t>муниципального района</w:t>
      </w:r>
      <w:r w:rsidR="00C0660C" w:rsidRPr="005C47DE">
        <w:rPr>
          <w:sz w:val="24"/>
          <w:szCs w:val="24"/>
        </w:rPr>
        <w:t xml:space="preserve"> с целью четкого определения и закрепления в бюджете финансовых ресурсов для реализации национальных проектов с учетом необходимости соблюдения установленных на федеральн</w:t>
      </w:r>
      <w:r w:rsidR="002F2DE2" w:rsidRPr="005C47DE">
        <w:rPr>
          <w:sz w:val="24"/>
          <w:szCs w:val="24"/>
        </w:rPr>
        <w:t>ом уровне бюджетных ограничений;</w:t>
      </w:r>
    </w:p>
    <w:p w:rsidR="00C0660C" w:rsidRPr="005C47DE" w:rsidRDefault="00ED62E8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lastRenderedPageBreak/>
        <w:t>- с</w:t>
      </w:r>
      <w:r w:rsidR="00C0660C" w:rsidRPr="005C47DE">
        <w:rPr>
          <w:sz w:val="24"/>
          <w:szCs w:val="24"/>
        </w:rPr>
        <w:t>оздание условий для эффективного расходования бюджетных средств, в том числе выделенных на р</w:t>
      </w:r>
      <w:r w:rsidR="002F2DE2" w:rsidRPr="005C47DE">
        <w:rPr>
          <w:sz w:val="24"/>
          <w:szCs w:val="24"/>
        </w:rPr>
        <w:t>еализацию национальных проектов;</w:t>
      </w:r>
    </w:p>
    <w:p w:rsidR="00ED62E8" w:rsidRPr="005C47DE" w:rsidRDefault="00ED62E8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- о</w:t>
      </w:r>
      <w:r w:rsidR="00C0660C" w:rsidRPr="005C47DE">
        <w:rPr>
          <w:sz w:val="24"/>
          <w:szCs w:val="24"/>
        </w:rPr>
        <w:t>существление мониторинга и контроля за эффективным использованием бюджетных средств, в том числе выделенных на реализацию национальных п</w:t>
      </w:r>
      <w:r w:rsidR="002F2DE2" w:rsidRPr="005C47DE">
        <w:rPr>
          <w:sz w:val="24"/>
          <w:szCs w:val="24"/>
        </w:rPr>
        <w:t>роектов;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- обеспечение  долгосрочной сбалансированности и устойчивости бюджетной системы  Нязепетровского муниципального района;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5C47DE">
        <w:rPr>
          <w:sz w:val="24"/>
          <w:szCs w:val="24"/>
        </w:rPr>
        <w:t>-  повышение эффективности функционирования бюджетного сектора экономики в целях обеспечения потребностей граждан в качественных и доступных муниципальных услугах;</w:t>
      </w:r>
    </w:p>
    <w:p w:rsidR="00801AA1" w:rsidRPr="005C47DE" w:rsidRDefault="002F2DE2" w:rsidP="00336716">
      <w:pPr>
        <w:widowControl w:val="0"/>
        <w:spacing w:line="360" w:lineRule="auto"/>
        <w:jc w:val="both"/>
      </w:pPr>
      <w:r w:rsidRPr="005C47DE">
        <w:tab/>
      </w:r>
      <w:r w:rsidR="00CA68B3" w:rsidRPr="005C47DE">
        <w:t>- формирование и исполнение бюджета в программном формате, в разрезе муниципальных программ, определяющих конкретные результаты использования бюджетных средств, что создаёт дополнительные условия для концентрации имеющихся ресурсов на наиболее значимых с точки зрения социально-экономического эффекта направлениях;</w:t>
      </w:r>
    </w:p>
    <w:p w:rsidR="00801AA1" w:rsidRPr="005C47DE" w:rsidRDefault="00CA68B3" w:rsidP="00336716">
      <w:pPr>
        <w:widowControl w:val="0"/>
        <w:spacing w:line="360" w:lineRule="auto"/>
        <w:ind w:firstLine="720"/>
        <w:jc w:val="both"/>
      </w:pPr>
      <w:r w:rsidRPr="005C47DE">
        <w:t>-повышение качества реализуемых  муниципальных программ в части обоснованности и объективности устанавливаемых в них индикативных показателей и их увязки с объёмами бюджетных средств на реализацию программных мероприятий;</w:t>
      </w:r>
    </w:p>
    <w:p w:rsidR="00801AA1" w:rsidRPr="005C47DE" w:rsidRDefault="00CA68B3" w:rsidP="00336716">
      <w:pPr>
        <w:widowControl w:val="0"/>
        <w:spacing w:line="360" w:lineRule="auto"/>
        <w:ind w:firstLine="720"/>
        <w:jc w:val="both"/>
      </w:pPr>
      <w:r w:rsidRPr="005C47DE">
        <w:t>- повышение качества бюджетного планирования  в сфере системных мер, обеспечивающих сокращение корректировок местного бюджета в ходе его исполнения;</w:t>
      </w:r>
    </w:p>
    <w:p w:rsidR="00801AA1" w:rsidRPr="005C47DE" w:rsidRDefault="00CA68B3" w:rsidP="00336716">
      <w:pPr>
        <w:widowControl w:val="0"/>
        <w:spacing w:line="360" w:lineRule="auto"/>
        <w:ind w:firstLine="720"/>
        <w:jc w:val="both"/>
      </w:pPr>
      <w:r w:rsidRPr="005C47DE">
        <w:t>- эффективное расходование бюджетных средств, выявление и использование резервов для достижения планируемых результатов;</w:t>
      </w:r>
    </w:p>
    <w:p w:rsidR="00801AA1" w:rsidRPr="005C47DE" w:rsidRDefault="00CA68B3" w:rsidP="00336716">
      <w:pPr>
        <w:widowControl w:val="0"/>
        <w:spacing w:line="360" w:lineRule="auto"/>
        <w:ind w:firstLine="720"/>
        <w:jc w:val="both"/>
      </w:pPr>
      <w:r w:rsidRPr="005C47DE"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801AA1" w:rsidRPr="005C47DE" w:rsidRDefault="00CA68B3" w:rsidP="00336716">
      <w:pPr>
        <w:widowControl w:val="0"/>
        <w:spacing w:line="360" w:lineRule="auto"/>
        <w:ind w:firstLine="720"/>
        <w:jc w:val="both"/>
      </w:pPr>
      <w:r w:rsidRPr="005C47DE">
        <w:t>- реализация принципов открытости и прозрачности управления муниципальными финансами.</w:t>
      </w:r>
    </w:p>
    <w:p w:rsidR="00801AA1" w:rsidRPr="005C47DE" w:rsidRDefault="00CA68B3" w:rsidP="00336716">
      <w:pPr>
        <w:widowControl w:val="0"/>
        <w:spacing w:line="360" w:lineRule="auto"/>
        <w:ind w:firstLine="720"/>
        <w:jc w:val="both"/>
      </w:pPr>
      <w:r w:rsidRPr="005C47DE">
        <w:t xml:space="preserve">В условиях роста социальной нагрузки на бюджет основной задачей бюджетной политики в области расходов является повышение эффективности бюджетных расходов. 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 xml:space="preserve">Существенный резерв повышения эффективности бюджетных расходов лежит в области подготовки бюджетных решений. Для эффективного использования 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 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 xml:space="preserve">Основными задачами по повышению эффективности бюджетных расходов являются: </w:t>
      </w:r>
    </w:p>
    <w:p w:rsidR="00801AA1" w:rsidRPr="005C47DE" w:rsidRDefault="00CA68B3" w:rsidP="00336716">
      <w:pPr>
        <w:pStyle w:val="ab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 xml:space="preserve">повышение эффективности и результативности имеющихся инструментов программно-целевого управления и </w:t>
      </w:r>
      <w:proofErr w:type="spellStart"/>
      <w:r w:rsidRPr="005C47DE">
        <w:rPr>
          <w:sz w:val="24"/>
          <w:szCs w:val="24"/>
        </w:rPr>
        <w:t>бюджетирования</w:t>
      </w:r>
      <w:proofErr w:type="spellEnd"/>
      <w:r w:rsidRPr="005C47DE">
        <w:rPr>
          <w:sz w:val="24"/>
          <w:szCs w:val="24"/>
        </w:rPr>
        <w:t>;</w:t>
      </w:r>
    </w:p>
    <w:p w:rsidR="00801AA1" w:rsidRPr="005C47DE" w:rsidRDefault="00CA68B3" w:rsidP="00336716">
      <w:pPr>
        <w:pStyle w:val="ab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создание условий для повышения качества предоставления муниципальных услуг;</w:t>
      </w:r>
    </w:p>
    <w:p w:rsidR="00801AA1" w:rsidRPr="005C47DE" w:rsidRDefault="00CA68B3" w:rsidP="00336716">
      <w:pPr>
        <w:pStyle w:val="ab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повышение эффективности процедур проведения закупок, в том числе путем внедрения казначейского сопровождения;</w:t>
      </w:r>
    </w:p>
    <w:p w:rsidR="00801AA1" w:rsidRPr="005C47DE" w:rsidRDefault="00CA68B3" w:rsidP="00336716">
      <w:pPr>
        <w:pStyle w:val="ab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lastRenderedPageBreak/>
        <w:t>совершенствование процедур предварительного и последующего контроля в финансово-бюджетной сфере;</w:t>
      </w:r>
    </w:p>
    <w:p w:rsidR="00801AA1" w:rsidRPr="005C47DE" w:rsidRDefault="00CA68B3" w:rsidP="00336716">
      <w:pPr>
        <w:pStyle w:val="ab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бюджетной политики, должны стать муниципальные программы. С 2017 года осуществлен переход к формированию и исполнению бюджета в разрезе муниципальных программ.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Развитие методологии разработки муниципальных программ, повышение эффективности их реализации будет продолжено путем обязательного отражения в муниципальных программах показателей стратегических документов и их целевых значений, что должно обеспечить полное соответствие муниципальных программ приоритетам развития Нязепетровского муниципального района.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В рамках решения задачи повышения эффективности оказания муниципальных услуг будет продолжена работа по созданию стимулов для более рационального и экономного использования бюджетных средств.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 xml:space="preserve">Данную задачу предполагается решить посредством оптимизации структуры бюджетной сети за счет ликвидации или преобразования в иную организационно-правовую форму части муниципальных учреждений, продолжение работы по оптимизации </w:t>
      </w:r>
      <w:proofErr w:type="spellStart"/>
      <w:r w:rsidRPr="005C47DE">
        <w:rPr>
          <w:sz w:val="24"/>
          <w:szCs w:val="24"/>
        </w:rPr>
        <w:t>непервоочередных</w:t>
      </w:r>
      <w:proofErr w:type="spellEnd"/>
      <w:r w:rsidRPr="005C47DE">
        <w:rPr>
          <w:sz w:val="24"/>
          <w:szCs w:val="24"/>
        </w:rPr>
        <w:t xml:space="preserve"> расходов.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Кроме того, муниципальные услуги (работы) должны быть приведены в соответствие с законодательством о разграничении полномочий между публично-правовыми образованиями. Должна быть завершена работа по формированию нормативных затрат на оказание муниципальных услуг на основе общих требований к определению нормативных затрат на оказание государственных (муниципальных) услуг в установленной сфере деятельности, принимаемых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Данные меры позволят установить прозрачную методику определения стоимости каждой муниципальной услуги на основании нормативных затрат.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 xml:space="preserve">В процессе исполнения бюджета сохранён механизм доведения бюджетных средств </w:t>
      </w:r>
      <w:r w:rsidR="002F2DE2" w:rsidRPr="005C47DE">
        <w:rPr>
          <w:sz w:val="24"/>
          <w:szCs w:val="24"/>
        </w:rPr>
        <w:t>главным распорядителям бюджетных средств</w:t>
      </w:r>
      <w:r w:rsidRPr="005C47DE">
        <w:rPr>
          <w:sz w:val="24"/>
          <w:szCs w:val="24"/>
        </w:rPr>
        <w:t xml:space="preserve"> на основании детального анализа обоснованности соответствующих расходов и с учётом фактического состояния. На основе  анализа по результатам конкурсных процедур,  анализа по заключенным договорам по расчётным данным на </w:t>
      </w:r>
      <w:proofErr w:type="spellStart"/>
      <w:r w:rsidRPr="005C47DE">
        <w:rPr>
          <w:sz w:val="24"/>
          <w:szCs w:val="24"/>
        </w:rPr>
        <w:t>ТЭРы</w:t>
      </w:r>
      <w:proofErr w:type="spellEnd"/>
      <w:r w:rsidRPr="005C47DE">
        <w:rPr>
          <w:sz w:val="24"/>
          <w:szCs w:val="24"/>
        </w:rPr>
        <w:t xml:space="preserve"> и фактически произведённым расходам производится сокращение  одних видов расходов и перераспределение сумм образовавшейся экономии.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 xml:space="preserve">Также используется механизм временного привлечения свободных остатков средств </w:t>
      </w:r>
      <w:r w:rsidRPr="005C47DE">
        <w:rPr>
          <w:sz w:val="24"/>
          <w:szCs w:val="24"/>
        </w:rPr>
        <w:lastRenderedPageBreak/>
        <w:t>бюджетных учреждений для финансирования кассовых разрывов.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Предоставление большинства целевых средств осуществляется  по факту возникновения потребности в оплате соответствующих расходов.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В совокупности указанные меры позволяют обеспечить наличие собственных средств на счёте бюджета в объёме, необходимом для финансового обеспечения расходов без привлечения заёмных средств.</w:t>
      </w:r>
    </w:p>
    <w:p w:rsidR="00801AA1" w:rsidRPr="005C47DE" w:rsidRDefault="00CA68B3" w:rsidP="00336716">
      <w:pPr>
        <w:spacing w:line="360" w:lineRule="auto"/>
        <w:jc w:val="both"/>
      </w:pPr>
      <w:r w:rsidRPr="005C47DE">
        <w:tab/>
        <w:t>Долговая политика направлена на обеспечение выполнения принятых долговых обязательств Нязепетровского муниципального района. В 2017 году были погашены все кредиты, полученные от кредитных организаций. В дальнейшем главная задача в области управления муниципальным долгом должна включать ограничение роста расходов местного бюджета,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местного бюджета.</w:t>
      </w:r>
    </w:p>
    <w:p w:rsidR="00801AA1" w:rsidRPr="005C47DE" w:rsidRDefault="00CA68B3" w:rsidP="00336716">
      <w:pPr>
        <w:widowControl w:val="0"/>
        <w:spacing w:line="360" w:lineRule="auto"/>
        <w:ind w:firstLine="720"/>
        <w:jc w:val="both"/>
      </w:pPr>
      <w:r w:rsidRPr="005C47DE"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801AA1" w:rsidRPr="005C47DE" w:rsidRDefault="00CA68B3" w:rsidP="00336716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В деятельности органов контроля акцент должен быть смещен с контроля над финансовыми потоками к контролю за результатами, которые приносит их использование.</w:t>
      </w:r>
    </w:p>
    <w:p w:rsidR="00ED62E8" w:rsidRPr="002F2DCF" w:rsidRDefault="00CA68B3" w:rsidP="002F2DCF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5C47DE">
        <w:rPr>
          <w:sz w:val="24"/>
          <w:szCs w:val="24"/>
        </w:rPr>
        <w:t>Эффективная работа современной системы внутреннего финансового контроля и внутреннего финансового аудита позволит обеспечить более полный, своевременный (прежде всего, предварительный) контрол</w:t>
      </w:r>
      <w:r w:rsidR="002D006D" w:rsidRPr="005C47DE">
        <w:rPr>
          <w:sz w:val="24"/>
          <w:szCs w:val="24"/>
        </w:rPr>
        <w:t>ь внутренних бюджетных процедур</w:t>
      </w:r>
      <w:r w:rsidRPr="005C47DE">
        <w:rPr>
          <w:sz w:val="24"/>
          <w:szCs w:val="24"/>
        </w:rPr>
        <w:t xml:space="preserve"> </w:t>
      </w:r>
      <w:r w:rsidR="002D006D" w:rsidRPr="005C47DE">
        <w:rPr>
          <w:sz w:val="24"/>
          <w:szCs w:val="24"/>
        </w:rPr>
        <w:t>и</w:t>
      </w:r>
      <w:r w:rsidRPr="005C47DE">
        <w:rPr>
          <w:sz w:val="24"/>
          <w:szCs w:val="24"/>
        </w:rPr>
        <w:t xml:space="preserve"> существенное </w:t>
      </w:r>
      <w:r w:rsidR="002D006D" w:rsidRPr="005C47DE">
        <w:rPr>
          <w:sz w:val="24"/>
          <w:szCs w:val="24"/>
        </w:rPr>
        <w:t>улучшение финансовой дисциплины.</w:t>
      </w:r>
    </w:p>
    <w:p w:rsidR="00801AA1" w:rsidRPr="005C47DE" w:rsidRDefault="00CA68B3" w:rsidP="00336716">
      <w:pPr>
        <w:spacing w:line="360" w:lineRule="auto"/>
        <w:jc w:val="center"/>
        <w:rPr>
          <w:i/>
        </w:rPr>
      </w:pPr>
      <w:r w:rsidRPr="005C47DE">
        <w:rPr>
          <w:i/>
        </w:rPr>
        <w:t xml:space="preserve">Основные подходы к планированию бюджетных ассигнований и </w:t>
      </w:r>
    </w:p>
    <w:p w:rsidR="00801AA1" w:rsidRPr="005C47DE" w:rsidRDefault="00CA68B3" w:rsidP="00336716">
      <w:pPr>
        <w:spacing w:line="360" w:lineRule="auto"/>
        <w:jc w:val="center"/>
        <w:rPr>
          <w:i/>
        </w:rPr>
      </w:pPr>
      <w:r w:rsidRPr="005C47DE">
        <w:rPr>
          <w:i/>
        </w:rPr>
        <w:t>приоритеты бюджетных расходов</w:t>
      </w:r>
    </w:p>
    <w:p w:rsidR="00801AA1" w:rsidRPr="005C47DE" w:rsidRDefault="00801AA1" w:rsidP="00336716">
      <w:pPr>
        <w:spacing w:line="360" w:lineRule="auto"/>
        <w:ind w:firstLine="709"/>
        <w:jc w:val="both"/>
      </w:pPr>
    </w:p>
    <w:p w:rsidR="00801AA1" w:rsidRPr="005C47DE" w:rsidRDefault="00CA68B3" w:rsidP="00336716">
      <w:pPr>
        <w:spacing w:line="360" w:lineRule="auto"/>
        <w:ind w:firstLine="709"/>
        <w:jc w:val="both"/>
      </w:pPr>
      <w:r w:rsidRPr="005C47DE">
        <w:t xml:space="preserve">Особенности формирования расходной части </w:t>
      </w:r>
      <w:r w:rsidR="00ED62E8" w:rsidRPr="005C47DE">
        <w:t>муниципального</w:t>
      </w:r>
      <w:r w:rsidRPr="005C47DE">
        <w:t xml:space="preserve"> бюджета на 2019-2021 годы обусловлены:</w:t>
      </w:r>
    </w:p>
    <w:p w:rsidR="00801AA1" w:rsidRPr="005C47DE" w:rsidRDefault="00CA68B3" w:rsidP="00336716">
      <w:pPr>
        <w:spacing w:line="360" w:lineRule="auto"/>
        <w:ind w:firstLine="709"/>
        <w:jc w:val="both"/>
      </w:pPr>
      <w:r w:rsidRPr="005C47DE">
        <w:t>1)дальнейшей реализацией мер бюджетной политики, сформулированных в социальных Указах и поручениях Президента Российской Федерации с учетом сроков их реализации;</w:t>
      </w:r>
    </w:p>
    <w:p w:rsidR="00801AA1" w:rsidRPr="005C47DE" w:rsidRDefault="00CA68B3" w:rsidP="00336716">
      <w:pPr>
        <w:spacing w:line="360" w:lineRule="auto"/>
        <w:ind w:firstLine="709"/>
        <w:jc w:val="both"/>
      </w:pPr>
      <w:r w:rsidRPr="005C47DE">
        <w:t xml:space="preserve">2) сохранением режима экономии бюджетных средств и продолжением работы по оптимизации </w:t>
      </w:r>
      <w:proofErr w:type="spellStart"/>
      <w:r w:rsidRPr="005C47DE">
        <w:t>непервоочередных</w:t>
      </w:r>
      <w:proofErr w:type="spellEnd"/>
      <w:r w:rsidRPr="005C47DE">
        <w:t xml:space="preserve"> расходов;</w:t>
      </w:r>
    </w:p>
    <w:p w:rsidR="00801AA1" w:rsidRPr="005C47DE" w:rsidRDefault="00CA68B3" w:rsidP="00336716">
      <w:pPr>
        <w:spacing w:line="360" w:lineRule="auto"/>
        <w:ind w:firstLine="709"/>
        <w:jc w:val="both"/>
      </w:pPr>
      <w:r w:rsidRPr="005C47DE">
        <w:t>3) уточнением объема бюджетных ассигнований с учетом:</w:t>
      </w:r>
    </w:p>
    <w:p w:rsidR="0030494A" w:rsidRPr="005C47DE" w:rsidRDefault="0030494A" w:rsidP="00336716">
      <w:pPr>
        <w:numPr>
          <w:ilvl w:val="0"/>
          <w:numId w:val="6"/>
        </w:numPr>
        <w:tabs>
          <w:tab w:val="left" w:pos="914"/>
        </w:tabs>
        <w:spacing w:line="360" w:lineRule="auto"/>
        <w:ind w:firstLine="707"/>
        <w:jc w:val="both"/>
      </w:pPr>
      <w:r w:rsidRPr="005C47DE">
        <w:t xml:space="preserve">увеличения фондов оплаты труда работников организаций бюджетной сферы муниципального района в целях сохранения достигнутых целевых показателей, определенных </w:t>
      </w:r>
      <w:r w:rsidRPr="005C47DE">
        <w:lastRenderedPageBreak/>
        <w:t>«майскими» указами Президента РФ 2012 года, и индексации на прогнозируемый уровень инфляции оплаты труда отдельных категорий работников;</w:t>
      </w:r>
    </w:p>
    <w:p w:rsidR="00801AA1" w:rsidRPr="005C47DE" w:rsidRDefault="00CA68B3" w:rsidP="00336716">
      <w:pPr>
        <w:spacing w:line="360" w:lineRule="auto"/>
        <w:ind w:firstLine="709"/>
        <w:jc w:val="both"/>
      </w:pPr>
      <w:r w:rsidRPr="005C47DE">
        <w:t xml:space="preserve">-  </w:t>
      </w:r>
      <w:r w:rsidR="0030494A" w:rsidRPr="005C47DE">
        <w:t>установления</w:t>
      </w:r>
      <w:r w:rsidRPr="005C47DE">
        <w:t xml:space="preserve"> минимального размера оплаты труда с учетом принят</w:t>
      </w:r>
      <w:r w:rsidR="0030494A" w:rsidRPr="005C47DE">
        <w:t xml:space="preserve">ых  изменений </w:t>
      </w:r>
      <w:r w:rsidRPr="005C47DE">
        <w:t>с 1 января 2019 года;</w:t>
      </w:r>
    </w:p>
    <w:p w:rsidR="00801AA1" w:rsidRPr="005C47DE" w:rsidRDefault="00CA68B3" w:rsidP="00336716">
      <w:pPr>
        <w:spacing w:line="360" w:lineRule="auto"/>
        <w:ind w:firstLine="709"/>
        <w:jc w:val="both"/>
      </w:pPr>
      <w:r w:rsidRPr="005C47DE">
        <w:t>- увеличения расходов на оплату коммунальных услуг муниципальных учреждений района с учетом лимитов потребления за коммунальные услуги и роста тарифов на планируемый период  на 6 % (средняя индексация роста).</w:t>
      </w:r>
    </w:p>
    <w:p w:rsidR="00801AA1" w:rsidRPr="005C47DE" w:rsidRDefault="00CA68B3" w:rsidP="00336716">
      <w:pPr>
        <w:tabs>
          <w:tab w:val="left" w:pos="1220"/>
          <w:tab w:val="left" w:pos="3040"/>
          <w:tab w:val="left" w:pos="4560"/>
          <w:tab w:val="left" w:pos="6440"/>
          <w:tab w:val="left" w:pos="7780"/>
        </w:tabs>
        <w:spacing w:line="360" w:lineRule="auto"/>
      </w:pPr>
      <w:r w:rsidRPr="005C47DE">
        <w:t>-</w:t>
      </w:r>
      <w:r w:rsidRPr="005C47DE">
        <w:tab/>
        <w:t>индексации</w:t>
      </w:r>
      <w:r w:rsidRPr="005C47DE">
        <w:tab/>
        <w:t>размеров</w:t>
      </w:r>
      <w:r w:rsidRPr="005C47DE">
        <w:tab/>
        <w:t>социальных</w:t>
      </w:r>
      <w:r w:rsidRPr="005C47DE">
        <w:tab/>
        <w:t>выплат,</w:t>
      </w:r>
      <w:r w:rsidRPr="005C47DE">
        <w:tab/>
        <w:t>установленных</w:t>
      </w:r>
    </w:p>
    <w:p w:rsidR="00801AA1" w:rsidRPr="005C47DE" w:rsidRDefault="00CA68B3" w:rsidP="00336716">
      <w:pPr>
        <w:spacing w:line="360" w:lineRule="auto"/>
      </w:pPr>
      <w:r w:rsidRPr="005C47DE">
        <w:t>законодательством Челябинской области: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по социальным выплатам, порядок индексации которых определен нормативными правовыми актами, устанавливающими данные расходные обязательства – в соответствии с нормативными правовыми актами, устанавливающими расходные обязательства;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по социальным выплатам, порядок индексации которых устанавливается законом об областном бюджете или уполномоченным органом – по уровню прогнозируемой инфляции;</w:t>
      </w:r>
    </w:p>
    <w:p w:rsidR="00801AA1" w:rsidRPr="005C47DE" w:rsidRDefault="00CA68B3" w:rsidP="00336716">
      <w:pPr>
        <w:numPr>
          <w:ilvl w:val="0"/>
          <w:numId w:val="8"/>
        </w:numPr>
        <w:spacing w:line="360" w:lineRule="auto"/>
        <w:jc w:val="both"/>
      </w:pPr>
      <w:r w:rsidRPr="005C47DE">
        <w:t xml:space="preserve">увеличения бюджетных ассигнований в связи с принятием в текущем году расходных обязательств, действие которых </w:t>
      </w:r>
      <w:r w:rsidR="00C3113D" w:rsidRPr="005C47DE">
        <w:t>распространяется на планируемый</w:t>
      </w:r>
      <w:r w:rsidR="00CF459E" w:rsidRPr="005C47DE">
        <w:t xml:space="preserve"> </w:t>
      </w:r>
      <w:r w:rsidRPr="005C47DE">
        <w:t>период</w:t>
      </w:r>
      <w:r w:rsidR="009655CE" w:rsidRPr="005C47DE">
        <w:t>;</w:t>
      </w:r>
    </w:p>
    <w:p w:rsidR="00801AA1" w:rsidRPr="005C47DE" w:rsidRDefault="00CA68B3" w:rsidP="00336716">
      <w:pPr>
        <w:numPr>
          <w:ilvl w:val="0"/>
          <w:numId w:val="9"/>
        </w:numPr>
        <w:tabs>
          <w:tab w:val="left" w:pos="1025"/>
        </w:tabs>
        <w:spacing w:line="360" w:lineRule="auto"/>
        <w:ind w:firstLine="707"/>
        <w:jc w:val="both"/>
      </w:pPr>
      <w:r w:rsidRPr="005C47DE">
        <w:t>индексации расходов на содержание  муниципальных учреждений, осуществляющих реализацию областных полномочий (за исключением фонда оплаты труда, налоговых и других платежей в бюджет), с учетом прогнозных индексов-дефляторов;</w:t>
      </w:r>
    </w:p>
    <w:p w:rsidR="00801AA1" w:rsidRPr="005C47DE" w:rsidRDefault="00CA68B3" w:rsidP="00336716">
      <w:pPr>
        <w:numPr>
          <w:ilvl w:val="0"/>
          <w:numId w:val="9"/>
        </w:numPr>
        <w:tabs>
          <w:tab w:val="left" w:pos="1082"/>
        </w:tabs>
        <w:spacing w:line="360" w:lineRule="auto"/>
        <w:ind w:firstLine="707"/>
      </w:pPr>
      <w:r w:rsidRPr="005C47DE">
        <w:t>уменьшения объемов бюджетных ассигнований по расходным обязательствам ограниченного срока действия.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При определении структуры и объемов бюджетных ассигнований приоритеты бюджетных расходов в основном остаются неизменными и дополняются новыми:</w:t>
      </w:r>
    </w:p>
    <w:p w:rsidR="00801AA1" w:rsidRPr="005C47DE" w:rsidRDefault="00CA68B3" w:rsidP="00336716">
      <w:pPr>
        <w:numPr>
          <w:ilvl w:val="0"/>
          <w:numId w:val="10"/>
        </w:numPr>
        <w:tabs>
          <w:tab w:val="left" w:pos="1123"/>
        </w:tabs>
        <w:spacing w:line="360" w:lineRule="auto"/>
        <w:ind w:left="0" w:firstLine="707"/>
        <w:jc w:val="both"/>
      </w:pPr>
      <w:r w:rsidRPr="005C47DE">
        <w:t>Реализация положений Указа Президента Российской Федерации от 7 мая 2018 года «О национальных и стратегических задачах развития Российской Федерации на период до 2024 года»;</w:t>
      </w:r>
    </w:p>
    <w:p w:rsidR="00801AA1" w:rsidRPr="005C47DE" w:rsidRDefault="00CA68B3" w:rsidP="00336716">
      <w:pPr>
        <w:numPr>
          <w:ilvl w:val="0"/>
          <w:numId w:val="10"/>
        </w:numPr>
        <w:tabs>
          <w:tab w:val="left" w:pos="1061"/>
        </w:tabs>
        <w:spacing w:line="360" w:lineRule="auto"/>
        <w:ind w:left="0" w:firstLine="707"/>
      </w:pPr>
      <w:r w:rsidRPr="005C47DE">
        <w:t>Дальнейшая реализация социальных Указов Президента Российской Федерации от 2012 года;</w:t>
      </w:r>
    </w:p>
    <w:p w:rsidR="00801AA1" w:rsidRPr="005C47DE" w:rsidRDefault="00CA68B3" w:rsidP="00336716">
      <w:pPr>
        <w:numPr>
          <w:ilvl w:val="0"/>
          <w:numId w:val="10"/>
        </w:numPr>
        <w:tabs>
          <w:tab w:val="left" w:pos="1248"/>
        </w:tabs>
        <w:spacing w:line="360" w:lineRule="auto"/>
        <w:ind w:left="0" w:firstLine="707"/>
        <w:jc w:val="both"/>
      </w:pPr>
      <w:r w:rsidRPr="005C47DE">
        <w:t xml:space="preserve">Безусловное выполнение законодательно установленных мер социальной поддержки населения области исходя из принципов </w:t>
      </w:r>
      <w:proofErr w:type="spellStart"/>
      <w:r w:rsidRPr="005C47DE">
        <w:t>адресности</w:t>
      </w:r>
      <w:proofErr w:type="spellEnd"/>
      <w:r w:rsidRPr="005C47DE">
        <w:t xml:space="preserve"> и нуждаемости.</w:t>
      </w:r>
    </w:p>
    <w:p w:rsidR="00801AA1" w:rsidRPr="005C47DE" w:rsidRDefault="00212E93" w:rsidP="00336716">
      <w:pPr>
        <w:spacing w:line="360" w:lineRule="auto"/>
        <w:ind w:firstLine="708"/>
        <w:jc w:val="both"/>
      </w:pPr>
      <w:r w:rsidRPr="005C47DE">
        <w:t>4</w:t>
      </w:r>
      <w:r w:rsidR="00CA68B3" w:rsidRPr="005C47DE">
        <w:t>. Обеспечение равных возможностей для получения качественных образовательных услуг, включая дальнейшее развитие инфраструктуры общеобразовательных и дошкольных учреждений.</w:t>
      </w:r>
    </w:p>
    <w:p w:rsidR="00801AA1" w:rsidRPr="005C47DE" w:rsidRDefault="00212E93" w:rsidP="00336716">
      <w:pPr>
        <w:spacing w:line="360" w:lineRule="auto"/>
        <w:ind w:firstLine="708"/>
        <w:jc w:val="both"/>
      </w:pPr>
      <w:bookmarkStart w:id="1" w:name="page18"/>
      <w:bookmarkEnd w:id="1"/>
      <w:r w:rsidRPr="005C47DE">
        <w:t>5</w:t>
      </w:r>
      <w:r w:rsidR="00CA68B3" w:rsidRPr="005C47DE">
        <w:t>. Создание условий, обеспечивающих возможность жителей  муниципального района заниматься физической культурой и спортом.</w:t>
      </w:r>
    </w:p>
    <w:p w:rsidR="00801AA1" w:rsidRPr="005C47DE" w:rsidRDefault="006115EC" w:rsidP="00336716">
      <w:pPr>
        <w:spacing w:line="360" w:lineRule="auto"/>
      </w:pPr>
      <w:r w:rsidRPr="005C47DE">
        <w:tab/>
      </w:r>
      <w:r w:rsidR="00D47265" w:rsidRPr="005C47DE">
        <w:t>6</w:t>
      </w:r>
      <w:r w:rsidR="00CA68B3" w:rsidRPr="005C47DE">
        <w:t>. Переселение граждан из жилья, непригодного для проживания.</w:t>
      </w:r>
    </w:p>
    <w:p w:rsidR="00801AA1" w:rsidRPr="005C47DE" w:rsidRDefault="006115EC" w:rsidP="00336716">
      <w:pPr>
        <w:spacing w:line="360" w:lineRule="auto"/>
      </w:pPr>
      <w:r w:rsidRPr="005C47DE">
        <w:lastRenderedPageBreak/>
        <w:tab/>
      </w:r>
      <w:r w:rsidR="00D47265" w:rsidRPr="005C47DE">
        <w:t>7</w:t>
      </w:r>
      <w:r w:rsidR="00CA68B3" w:rsidRPr="005C47DE">
        <w:t>. Развитие муниципальной дорожно-транспортной инфраструктуры.</w:t>
      </w:r>
    </w:p>
    <w:p w:rsidR="00801AA1" w:rsidRPr="005C47DE" w:rsidRDefault="006115EC" w:rsidP="00336716">
      <w:pPr>
        <w:spacing w:line="360" w:lineRule="auto"/>
      </w:pPr>
      <w:r w:rsidRPr="005C47DE">
        <w:tab/>
      </w:r>
      <w:r w:rsidR="00D47265" w:rsidRPr="005C47DE">
        <w:t>8</w:t>
      </w:r>
      <w:r w:rsidR="00CA68B3" w:rsidRPr="005C47DE">
        <w:t>. Газификация населения.</w:t>
      </w:r>
    </w:p>
    <w:p w:rsidR="00801AA1" w:rsidRPr="005C47DE" w:rsidRDefault="006115EC" w:rsidP="00336716">
      <w:pPr>
        <w:spacing w:line="360" w:lineRule="auto"/>
      </w:pPr>
      <w:r w:rsidRPr="005C47DE">
        <w:tab/>
      </w:r>
      <w:r w:rsidR="00D47265" w:rsidRPr="005C47DE">
        <w:t>9</w:t>
      </w:r>
      <w:r w:rsidR="00CA68B3" w:rsidRPr="005C47DE">
        <w:t>. Формирование комфортной городской среды.</w:t>
      </w:r>
      <w:bookmarkStart w:id="2" w:name="page22"/>
      <w:bookmarkEnd w:id="2"/>
    </w:p>
    <w:p w:rsidR="00864DBC" w:rsidRPr="005C47DE" w:rsidRDefault="00864DBC" w:rsidP="00336716">
      <w:pPr>
        <w:spacing w:line="360" w:lineRule="auto"/>
      </w:pPr>
    </w:p>
    <w:p w:rsidR="00801AA1" w:rsidRPr="005C47DE" w:rsidRDefault="00CA68B3" w:rsidP="00336716">
      <w:pPr>
        <w:tabs>
          <w:tab w:val="left" w:pos="1680"/>
          <w:tab w:val="left" w:pos="2480"/>
          <w:tab w:val="left" w:pos="2840"/>
          <w:tab w:val="left" w:pos="4260"/>
          <w:tab w:val="left" w:pos="5140"/>
          <w:tab w:val="left" w:pos="6860"/>
          <w:tab w:val="left" w:pos="8520"/>
        </w:tabs>
        <w:spacing w:line="360" w:lineRule="auto"/>
        <w:ind w:firstLine="700"/>
        <w:jc w:val="both"/>
      </w:pPr>
      <w:r w:rsidRPr="005C47DE">
        <w:t>Кроме</w:t>
      </w:r>
      <w:r w:rsidRPr="005C47DE">
        <w:tab/>
        <w:t>того,</w:t>
      </w:r>
      <w:r w:rsidRPr="005C47DE">
        <w:tab/>
        <w:t>в</w:t>
      </w:r>
      <w:r w:rsidRPr="005C47DE">
        <w:tab/>
        <w:t>2019-2021</w:t>
      </w:r>
      <w:r w:rsidRPr="005C47DE">
        <w:tab/>
        <w:t>годах</w:t>
      </w:r>
      <w:r w:rsidRPr="005C47DE">
        <w:tab/>
        <w:t>планируется</w:t>
      </w:r>
      <w:r w:rsidRPr="005C47DE">
        <w:tab/>
      </w:r>
      <w:r w:rsidR="009961AA" w:rsidRPr="005C47DE">
        <w:t xml:space="preserve">применения </w:t>
      </w:r>
      <w:r w:rsidRPr="005C47DE">
        <w:t>следующих мер, направленных на предсказуемость и прозрачность условий предоставления межбюджетных трансфертов местным бюджетам: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перечисление целевых межбюджетных трансфертов из муниципального бюджета под фактическую потребность  бюджетов поселений в расходах. Это позволяет исключить наличие неиспользованного остатка средств на счетах поселений, а также обеспечит повышение эффективности и прозрачности расходов бюджетов поселений;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перечисление межбюджетных трансфертов на финансирование первоочередных расходов, носящих, в основном, нецелевой характер, с учетом остатка средств на счетах бюджетов, а также на счетах муниципальных автономных и бюджетных учреждений.</w:t>
      </w:r>
    </w:p>
    <w:p w:rsidR="00801AA1" w:rsidRPr="005C47DE" w:rsidRDefault="00CA68B3" w:rsidP="00336716">
      <w:pPr>
        <w:numPr>
          <w:ilvl w:val="0"/>
          <w:numId w:val="17"/>
        </w:numPr>
        <w:tabs>
          <w:tab w:val="left" w:pos="1056"/>
        </w:tabs>
        <w:spacing w:line="360" w:lineRule="auto"/>
        <w:ind w:firstLine="707"/>
        <w:jc w:val="both"/>
      </w:pPr>
      <w:bookmarkStart w:id="3" w:name="page24"/>
      <w:bookmarkEnd w:id="3"/>
      <w:r w:rsidRPr="005C47DE">
        <w:t>2019 году и плановом периоде в рамках ежегодного мониторинга соблюдения муниципальными образованиями требований бюджетного</w:t>
      </w:r>
      <w:r w:rsidR="006115EC" w:rsidRPr="005C47DE">
        <w:t xml:space="preserve"> </w:t>
      </w:r>
      <w:r w:rsidRPr="005C47DE">
        <w:t>законодательства Российской Федерации и качества управления муниципальными финансами особое внимание будет уделяться следующим вопросам: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соблюдению органами местного самоуправления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801AA1" w:rsidRPr="005C47DE" w:rsidRDefault="00CA68B3" w:rsidP="005C47DE">
      <w:pPr>
        <w:spacing w:line="360" w:lineRule="auto"/>
        <w:ind w:firstLine="708"/>
        <w:jc w:val="both"/>
      </w:pPr>
      <w:r w:rsidRPr="005C47DE">
        <w:t>сокращение доли расходов на содержание органов местного самоуправления в объеме собственных доходов местного бюджета;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недопущению включения в решение о местном бюджете в качестве источников финансирования дефицита местного бюджета привлечения бюджетных кредитов из областного бюджета при отсутствии решения Правительства Челябинской области об их предоставлении;</w:t>
      </w:r>
    </w:p>
    <w:p w:rsidR="00801AA1" w:rsidRPr="005C47DE" w:rsidRDefault="00CA68B3" w:rsidP="00336716">
      <w:pPr>
        <w:spacing w:line="360" w:lineRule="auto"/>
        <w:ind w:firstLine="708"/>
        <w:jc w:val="both"/>
      </w:pPr>
      <w:r w:rsidRPr="005C47DE">
        <w:t>обеспечению утверждения в решении о местном бюджете реалистичного плана поступлений налоговых и неналоговых доходов и предотвращению практики искусственного завышения соответствующих показателей.</w:t>
      </w:r>
    </w:p>
    <w:p w:rsidR="00801AA1" w:rsidRPr="005C47DE" w:rsidRDefault="00801AA1" w:rsidP="00336716">
      <w:pPr>
        <w:spacing w:line="360" w:lineRule="auto"/>
        <w:jc w:val="both"/>
      </w:pPr>
    </w:p>
    <w:p w:rsidR="00801AA1" w:rsidRPr="005C47DE" w:rsidRDefault="00801AA1" w:rsidP="00336716">
      <w:pPr>
        <w:spacing w:line="360" w:lineRule="auto"/>
        <w:jc w:val="both"/>
      </w:pPr>
    </w:p>
    <w:p w:rsidR="00801AA1" w:rsidRPr="005C47DE" w:rsidRDefault="00801AA1" w:rsidP="00336716">
      <w:pPr>
        <w:spacing w:line="360" w:lineRule="auto"/>
        <w:jc w:val="both"/>
      </w:pPr>
    </w:p>
    <w:sectPr w:rsidR="00801AA1" w:rsidRPr="005C47DE" w:rsidSect="00902326">
      <w:pgSz w:w="11906" w:h="16838"/>
      <w:pgMar w:top="851" w:right="567" w:bottom="851" w:left="1247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E9" w:rsidRDefault="003C43E9" w:rsidP="00801AA1">
      <w:r>
        <w:separator/>
      </w:r>
    </w:p>
  </w:endnote>
  <w:endnote w:type="continuationSeparator" w:id="0">
    <w:p w:rsidR="003C43E9" w:rsidRDefault="003C43E9" w:rsidP="00801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E9" w:rsidRDefault="003C43E9" w:rsidP="00801AA1">
      <w:r>
        <w:separator/>
      </w:r>
    </w:p>
  </w:footnote>
  <w:footnote w:type="continuationSeparator" w:id="0">
    <w:p w:rsidR="003C43E9" w:rsidRDefault="003C43E9" w:rsidP="00801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01C"/>
    <w:multiLevelType w:val="multilevel"/>
    <w:tmpl w:val="D50A6018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1">
    <w:nsid w:val="00A84E43"/>
    <w:multiLevelType w:val="multilevel"/>
    <w:tmpl w:val="2A96FFDA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151BEE"/>
    <w:multiLevelType w:val="multilevel"/>
    <w:tmpl w:val="75A0F492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2369D7"/>
    <w:multiLevelType w:val="multilevel"/>
    <w:tmpl w:val="4C94370E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64690A"/>
    <w:multiLevelType w:val="multilevel"/>
    <w:tmpl w:val="AF18C7C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C538B9"/>
    <w:multiLevelType w:val="multilevel"/>
    <w:tmpl w:val="BB2E764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6">
    <w:nsid w:val="10EC6E19"/>
    <w:multiLevelType w:val="multilevel"/>
    <w:tmpl w:val="09B85D38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D779F9"/>
    <w:multiLevelType w:val="multilevel"/>
    <w:tmpl w:val="2D72E78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5D5E2C"/>
    <w:multiLevelType w:val="multilevel"/>
    <w:tmpl w:val="08D88AD6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7838C3"/>
    <w:multiLevelType w:val="multilevel"/>
    <w:tmpl w:val="A93858B8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FF5E5B"/>
    <w:multiLevelType w:val="multilevel"/>
    <w:tmpl w:val="45D8C778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8033DA"/>
    <w:multiLevelType w:val="multilevel"/>
    <w:tmpl w:val="E1260C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2">
    <w:nsid w:val="43C3561B"/>
    <w:multiLevelType w:val="multilevel"/>
    <w:tmpl w:val="48149D5A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A2578A1"/>
    <w:multiLevelType w:val="multilevel"/>
    <w:tmpl w:val="34249FD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CB14CDF"/>
    <w:multiLevelType w:val="multilevel"/>
    <w:tmpl w:val="B8DC45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EA8129B"/>
    <w:multiLevelType w:val="multilevel"/>
    <w:tmpl w:val="D408BFA4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11B119A"/>
    <w:multiLevelType w:val="multilevel"/>
    <w:tmpl w:val="E5E05C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E9E76F3"/>
    <w:multiLevelType w:val="multilevel"/>
    <w:tmpl w:val="2D7C7124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7"/>
  </w:num>
  <w:num w:numId="5">
    <w:abstractNumId w:val="15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17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01AA1"/>
    <w:rsid w:val="00130C1D"/>
    <w:rsid w:val="00212E93"/>
    <w:rsid w:val="002723BA"/>
    <w:rsid w:val="002B48C6"/>
    <w:rsid w:val="002D006D"/>
    <w:rsid w:val="002F2DCF"/>
    <w:rsid w:val="002F2DE2"/>
    <w:rsid w:val="0030494A"/>
    <w:rsid w:val="00336716"/>
    <w:rsid w:val="003C43E9"/>
    <w:rsid w:val="004C0422"/>
    <w:rsid w:val="005176DB"/>
    <w:rsid w:val="005B153F"/>
    <w:rsid w:val="005C47DE"/>
    <w:rsid w:val="00610C5E"/>
    <w:rsid w:val="006115EC"/>
    <w:rsid w:val="00801AA1"/>
    <w:rsid w:val="00864DBC"/>
    <w:rsid w:val="008931DA"/>
    <w:rsid w:val="008A3CFA"/>
    <w:rsid w:val="008B13E7"/>
    <w:rsid w:val="00902326"/>
    <w:rsid w:val="00914E90"/>
    <w:rsid w:val="00955EE7"/>
    <w:rsid w:val="009655CE"/>
    <w:rsid w:val="009961AA"/>
    <w:rsid w:val="00A03F9F"/>
    <w:rsid w:val="00A12326"/>
    <w:rsid w:val="00C0660C"/>
    <w:rsid w:val="00C3113D"/>
    <w:rsid w:val="00CA68B3"/>
    <w:rsid w:val="00CF459E"/>
    <w:rsid w:val="00D47265"/>
    <w:rsid w:val="00E93899"/>
    <w:rsid w:val="00ED62E8"/>
    <w:rsid w:val="00EE270F"/>
    <w:rsid w:val="00F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5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9315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Нижний колонтитул Знак"/>
    <w:basedOn w:val="a0"/>
    <w:qFormat/>
    <w:rsid w:val="004931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903EC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801AA1"/>
    <w:rPr>
      <w:color w:val="000080"/>
      <w:u w:val="single"/>
    </w:rPr>
  </w:style>
  <w:style w:type="character" w:customStyle="1" w:styleId="a6">
    <w:name w:val="Маркеры списка"/>
    <w:qFormat/>
    <w:rsid w:val="00801AA1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29z0">
    <w:name w:val="WW8Num29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30z0">
    <w:name w:val="WW8Num30z0"/>
    <w:qFormat/>
    <w:rsid w:val="00801AA1"/>
    <w:rPr>
      <w:rFonts w:ascii="Times New Roman" w:eastAsia="Times New Roman" w:hAnsi="Times New Roman" w:cs="Times New Roman"/>
      <w:sz w:val="28"/>
    </w:rPr>
  </w:style>
  <w:style w:type="character" w:customStyle="1" w:styleId="WW8Num31z0">
    <w:name w:val="WW8Num31z0"/>
    <w:qFormat/>
    <w:rsid w:val="00801AA1"/>
  </w:style>
  <w:style w:type="character" w:customStyle="1" w:styleId="WW8Num32z0">
    <w:name w:val="WW8Num32z0"/>
    <w:qFormat/>
    <w:rsid w:val="00801AA1"/>
    <w:rPr>
      <w:rFonts w:ascii="Times New Roman" w:eastAsia="Times New Roman" w:hAnsi="Times New Roman" w:cs="Times New Roman"/>
      <w:sz w:val="28"/>
    </w:rPr>
  </w:style>
  <w:style w:type="character" w:customStyle="1" w:styleId="WW8Num33z0">
    <w:name w:val="WW8Num33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34z0">
    <w:name w:val="WW8Num34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35z0">
    <w:name w:val="WW8Num35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36z0">
    <w:name w:val="WW8Num36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37z0">
    <w:name w:val="WW8Num37z0"/>
    <w:qFormat/>
    <w:rsid w:val="00801AA1"/>
    <w:rPr>
      <w:rFonts w:ascii="Times New Roman" w:eastAsia="Times New Roman" w:hAnsi="Times New Roman" w:cs="Times New Roman"/>
      <w:sz w:val="28"/>
    </w:rPr>
  </w:style>
  <w:style w:type="character" w:customStyle="1" w:styleId="WW8Num38z0">
    <w:name w:val="WW8Num38z0"/>
    <w:qFormat/>
    <w:rsid w:val="00801AA1"/>
    <w:rPr>
      <w:rFonts w:ascii="Times New Roman" w:eastAsia="Times New Roman" w:hAnsi="Times New Roman" w:cs="Times New Roman"/>
      <w:sz w:val="28"/>
    </w:rPr>
  </w:style>
  <w:style w:type="character" w:customStyle="1" w:styleId="WW8Num47z0">
    <w:name w:val="WW8Num47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48z0">
    <w:name w:val="WW8Num48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48z2">
    <w:name w:val="WW8Num48z2"/>
    <w:qFormat/>
    <w:rsid w:val="00801AA1"/>
    <w:rPr>
      <w:rFonts w:ascii="Liberation Serif;Times New Roma" w:hAnsi="Liberation Serif;Times New Roma" w:cs="Liberation Serif;Times New Roma"/>
    </w:rPr>
  </w:style>
  <w:style w:type="character" w:customStyle="1" w:styleId="WW8Num49z0">
    <w:name w:val="WW8Num49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50z0">
    <w:name w:val="WW8Num50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51z0">
    <w:name w:val="WW8Num51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WW8Num52z0">
    <w:name w:val="WW8Num52z0"/>
    <w:qFormat/>
    <w:rsid w:val="00801AA1"/>
    <w:rPr>
      <w:rFonts w:ascii="Liberation Serif;Times New Roma" w:hAnsi="Liberation Serif;Times New Roma" w:cs="Times New Roman"/>
      <w:sz w:val="28"/>
    </w:rPr>
  </w:style>
  <w:style w:type="character" w:customStyle="1" w:styleId="ListLabel1">
    <w:name w:val="ListLabel 1"/>
    <w:qFormat/>
    <w:rsid w:val="00801AA1"/>
    <w:rPr>
      <w:rFonts w:cs="OpenSymbol"/>
    </w:rPr>
  </w:style>
  <w:style w:type="character" w:customStyle="1" w:styleId="ListLabel2">
    <w:name w:val="ListLabel 2"/>
    <w:qFormat/>
    <w:rsid w:val="00801AA1"/>
    <w:rPr>
      <w:rFonts w:cs="OpenSymbol"/>
    </w:rPr>
  </w:style>
  <w:style w:type="character" w:customStyle="1" w:styleId="ListLabel3">
    <w:name w:val="ListLabel 3"/>
    <w:qFormat/>
    <w:rsid w:val="00801AA1"/>
    <w:rPr>
      <w:rFonts w:cs="OpenSymbol"/>
    </w:rPr>
  </w:style>
  <w:style w:type="character" w:customStyle="1" w:styleId="ListLabel4">
    <w:name w:val="ListLabel 4"/>
    <w:qFormat/>
    <w:rsid w:val="00801AA1"/>
    <w:rPr>
      <w:rFonts w:cs="OpenSymbol"/>
    </w:rPr>
  </w:style>
  <w:style w:type="character" w:customStyle="1" w:styleId="ListLabel5">
    <w:name w:val="ListLabel 5"/>
    <w:qFormat/>
    <w:rsid w:val="00801AA1"/>
    <w:rPr>
      <w:rFonts w:cs="OpenSymbol"/>
    </w:rPr>
  </w:style>
  <w:style w:type="character" w:customStyle="1" w:styleId="ListLabel6">
    <w:name w:val="ListLabel 6"/>
    <w:qFormat/>
    <w:rsid w:val="00801AA1"/>
    <w:rPr>
      <w:rFonts w:cs="OpenSymbol"/>
    </w:rPr>
  </w:style>
  <w:style w:type="character" w:customStyle="1" w:styleId="ListLabel7">
    <w:name w:val="ListLabel 7"/>
    <w:qFormat/>
    <w:rsid w:val="00801AA1"/>
    <w:rPr>
      <w:rFonts w:cs="OpenSymbol"/>
    </w:rPr>
  </w:style>
  <w:style w:type="character" w:customStyle="1" w:styleId="ListLabel8">
    <w:name w:val="ListLabel 8"/>
    <w:qFormat/>
    <w:rsid w:val="00801AA1"/>
    <w:rPr>
      <w:rFonts w:cs="OpenSymbol"/>
    </w:rPr>
  </w:style>
  <w:style w:type="character" w:customStyle="1" w:styleId="ListLabel9">
    <w:name w:val="ListLabel 9"/>
    <w:qFormat/>
    <w:rsid w:val="00801AA1"/>
    <w:rPr>
      <w:rFonts w:cs="OpenSymbol"/>
    </w:rPr>
  </w:style>
  <w:style w:type="character" w:customStyle="1" w:styleId="ListLabel10">
    <w:name w:val="ListLabel 10"/>
    <w:qFormat/>
    <w:rsid w:val="00801AA1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801AA1"/>
    <w:rPr>
      <w:rFonts w:ascii="Times New Roman" w:eastAsia="Times New Roman" w:hAnsi="Times New Roman" w:cs="Times New Roman"/>
      <w:sz w:val="28"/>
    </w:rPr>
  </w:style>
  <w:style w:type="character" w:customStyle="1" w:styleId="ListLabel12">
    <w:name w:val="ListLabel 12"/>
    <w:qFormat/>
    <w:rsid w:val="00801AA1"/>
    <w:rPr>
      <w:rFonts w:ascii="Times New Roman" w:eastAsia="Times New Roman" w:hAnsi="Times New Roman" w:cs="Times New Roman"/>
      <w:sz w:val="28"/>
    </w:rPr>
  </w:style>
  <w:style w:type="character" w:customStyle="1" w:styleId="ListLabel13">
    <w:name w:val="ListLabel 13"/>
    <w:qFormat/>
    <w:rsid w:val="00801AA1"/>
    <w:rPr>
      <w:rFonts w:ascii="Times New Roman" w:hAnsi="Times New Roman" w:cs="Times New Roman"/>
      <w:sz w:val="28"/>
    </w:rPr>
  </w:style>
  <w:style w:type="character" w:customStyle="1" w:styleId="ListLabel14">
    <w:name w:val="ListLabel 14"/>
    <w:qFormat/>
    <w:rsid w:val="00801AA1"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sid w:val="00801AA1"/>
    <w:rPr>
      <w:rFonts w:ascii="Times New Roman" w:hAnsi="Times New Roman" w:cs="Times New Roman"/>
      <w:sz w:val="28"/>
    </w:rPr>
  </w:style>
  <w:style w:type="character" w:customStyle="1" w:styleId="ListLabel16">
    <w:name w:val="ListLabel 16"/>
    <w:qFormat/>
    <w:rsid w:val="00801AA1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801AA1"/>
    <w:rPr>
      <w:rFonts w:ascii="Times New Roman" w:eastAsia="Times New Roman" w:hAnsi="Times New Roman" w:cs="Times New Roman"/>
      <w:sz w:val="28"/>
    </w:rPr>
  </w:style>
  <w:style w:type="character" w:customStyle="1" w:styleId="ListLabel18">
    <w:name w:val="ListLabel 18"/>
    <w:qFormat/>
    <w:rsid w:val="00801AA1"/>
    <w:rPr>
      <w:rFonts w:ascii="Times New Roman" w:eastAsia="Times New Roman" w:hAnsi="Times New Roman" w:cs="Times New Roman"/>
      <w:sz w:val="28"/>
    </w:rPr>
  </w:style>
  <w:style w:type="character" w:customStyle="1" w:styleId="ListLabel19">
    <w:name w:val="ListLabel 19"/>
    <w:qFormat/>
    <w:rsid w:val="00801AA1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801AA1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801AA1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801AA1"/>
    <w:rPr>
      <w:rFonts w:cs="Liberation Serif;Times New Roma"/>
    </w:rPr>
  </w:style>
  <w:style w:type="character" w:customStyle="1" w:styleId="ListLabel23">
    <w:name w:val="ListLabel 23"/>
    <w:qFormat/>
    <w:rsid w:val="00801AA1"/>
    <w:rPr>
      <w:rFonts w:cs="Liberation Serif;Times New Roma"/>
    </w:rPr>
  </w:style>
  <w:style w:type="character" w:customStyle="1" w:styleId="ListLabel24">
    <w:name w:val="ListLabel 24"/>
    <w:qFormat/>
    <w:rsid w:val="00801AA1"/>
    <w:rPr>
      <w:rFonts w:cs="Liberation Serif;Times New Roma"/>
    </w:rPr>
  </w:style>
  <w:style w:type="character" w:customStyle="1" w:styleId="ListLabel25">
    <w:name w:val="ListLabel 25"/>
    <w:qFormat/>
    <w:rsid w:val="00801AA1"/>
    <w:rPr>
      <w:rFonts w:cs="Liberation Serif;Times New Roma"/>
    </w:rPr>
  </w:style>
  <w:style w:type="character" w:customStyle="1" w:styleId="ListLabel26">
    <w:name w:val="ListLabel 26"/>
    <w:qFormat/>
    <w:rsid w:val="00801AA1"/>
    <w:rPr>
      <w:rFonts w:cs="Liberation Serif;Times New Roma"/>
    </w:rPr>
  </w:style>
  <w:style w:type="character" w:customStyle="1" w:styleId="ListLabel27">
    <w:name w:val="ListLabel 27"/>
    <w:qFormat/>
    <w:rsid w:val="00801AA1"/>
    <w:rPr>
      <w:rFonts w:cs="Liberation Serif;Times New Roma"/>
    </w:rPr>
  </w:style>
  <w:style w:type="character" w:customStyle="1" w:styleId="ListLabel28">
    <w:name w:val="ListLabel 28"/>
    <w:qFormat/>
    <w:rsid w:val="00801AA1"/>
    <w:rPr>
      <w:rFonts w:cs="Liberation Serif;Times New Roma"/>
    </w:rPr>
  </w:style>
  <w:style w:type="character" w:customStyle="1" w:styleId="ListLabel29">
    <w:name w:val="ListLabel 29"/>
    <w:qFormat/>
    <w:rsid w:val="00801AA1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801AA1"/>
    <w:rPr>
      <w:rFonts w:ascii="Times New Roman" w:hAnsi="Times New Roman" w:cs="Times New Roman"/>
      <w:sz w:val="28"/>
    </w:rPr>
  </w:style>
  <w:style w:type="character" w:customStyle="1" w:styleId="ListLabel31">
    <w:name w:val="ListLabel 31"/>
    <w:qFormat/>
    <w:rsid w:val="00801AA1"/>
    <w:rPr>
      <w:rFonts w:ascii="Times New Roman" w:hAnsi="Times New Roman" w:cs="Times New Roman"/>
      <w:sz w:val="28"/>
    </w:rPr>
  </w:style>
  <w:style w:type="character" w:customStyle="1" w:styleId="ListLabel32">
    <w:name w:val="ListLabel 32"/>
    <w:qFormat/>
    <w:rsid w:val="00801AA1"/>
    <w:rPr>
      <w:rFonts w:ascii="Times New Roman" w:hAnsi="Times New Roman" w:cs="Times New Roman"/>
      <w:sz w:val="28"/>
    </w:rPr>
  </w:style>
  <w:style w:type="paragraph" w:customStyle="1" w:styleId="a7">
    <w:name w:val="Заголовок"/>
    <w:basedOn w:val="a"/>
    <w:next w:val="a8"/>
    <w:qFormat/>
    <w:rsid w:val="00801A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93150"/>
    <w:pPr>
      <w:jc w:val="both"/>
    </w:pPr>
    <w:rPr>
      <w:sz w:val="28"/>
    </w:rPr>
  </w:style>
  <w:style w:type="paragraph" w:styleId="a9">
    <w:name w:val="List"/>
    <w:basedOn w:val="a8"/>
    <w:rsid w:val="00801AA1"/>
    <w:rPr>
      <w:rFonts w:cs="Mangal"/>
    </w:rPr>
  </w:style>
  <w:style w:type="paragraph" w:customStyle="1" w:styleId="Caption">
    <w:name w:val="Caption"/>
    <w:basedOn w:val="a"/>
    <w:qFormat/>
    <w:rsid w:val="00801AA1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01AA1"/>
    <w:pPr>
      <w:suppressLineNumbers/>
    </w:pPr>
    <w:rPr>
      <w:rFonts w:cs="Mangal"/>
    </w:rPr>
  </w:style>
  <w:style w:type="paragraph" w:styleId="ab">
    <w:name w:val="No Spacing"/>
    <w:qFormat/>
    <w:rsid w:val="00493150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Footer">
    <w:name w:val="Footer"/>
    <w:basedOn w:val="a"/>
    <w:rsid w:val="004931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24006"/>
    <w:rPr>
      <w:rFonts w:ascii="Arial" w:hAnsi="Arial" w:cs="Arial"/>
      <w:color w:val="00000A"/>
      <w:szCs w:val="20"/>
    </w:rPr>
  </w:style>
  <w:style w:type="paragraph" w:styleId="ac">
    <w:name w:val="Balloon Text"/>
    <w:basedOn w:val="a"/>
    <w:uiPriority w:val="99"/>
    <w:semiHidden/>
    <w:unhideWhenUsed/>
    <w:qFormat/>
    <w:rsid w:val="00903EC0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801AA1"/>
  </w:style>
  <w:style w:type="numbering" w:customStyle="1" w:styleId="WW8Num1">
    <w:name w:val="WW8Num1"/>
    <w:qFormat/>
    <w:rsid w:val="00801AA1"/>
  </w:style>
  <w:style w:type="numbering" w:customStyle="1" w:styleId="WW8Num29">
    <w:name w:val="WW8Num29"/>
    <w:qFormat/>
    <w:rsid w:val="00801AA1"/>
  </w:style>
  <w:style w:type="numbering" w:customStyle="1" w:styleId="WW8Num30">
    <w:name w:val="WW8Num30"/>
    <w:qFormat/>
    <w:rsid w:val="00801AA1"/>
  </w:style>
  <w:style w:type="numbering" w:customStyle="1" w:styleId="WW8Num31">
    <w:name w:val="WW8Num31"/>
    <w:qFormat/>
    <w:rsid w:val="00801AA1"/>
  </w:style>
  <w:style w:type="numbering" w:customStyle="1" w:styleId="WW8Num32">
    <w:name w:val="WW8Num32"/>
    <w:qFormat/>
    <w:rsid w:val="00801AA1"/>
  </w:style>
  <w:style w:type="numbering" w:customStyle="1" w:styleId="WW8Num33">
    <w:name w:val="WW8Num33"/>
    <w:qFormat/>
    <w:rsid w:val="00801AA1"/>
  </w:style>
  <w:style w:type="numbering" w:customStyle="1" w:styleId="WW8Num34">
    <w:name w:val="WW8Num34"/>
    <w:qFormat/>
    <w:rsid w:val="00801AA1"/>
  </w:style>
  <w:style w:type="numbering" w:customStyle="1" w:styleId="WW8Num35">
    <w:name w:val="WW8Num35"/>
    <w:qFormat/>
    <w:rsid w:val="00801AA1"/>
  </w:style>
  <w:style w:type="numbering" w:customStyle="1" w:styleId="WW8Num36">
    <w:name w:val="WW8Num36"/>
    <w:qFormat/>
    <w:rsid w:val="00801AA1"/>
  </w:style>
  <w:style w:type="numbering" w:customStyle="1" w:styleId="WW8Num37">
    <w:name w:val="WW8Num37"/>
    <w:qFormat/>
    <w:rsid w:val="00801AA1"/>
  </w:style>
  <w:style w:type="numbering" w:customStyle="1" w:styleId="WW8Num38">
    <w:name w:val="WW8Num38"/>
    <w:qFormat/>
    <w:rsid w:val="00801AA1"/>
  </w:style>
  <w:style w:type="numbering" w:customStyle="1" w:styleId="WW8Num47">
    <w:name w:val="WW8Num47"/>
    <w:qFormat/>
    <w:rsid w:val="00801AA1"/>
  </w:style>
  <w:style w:type="numbering" w:customStyle="1" w:styleId="WW8Num48">
    <w:name w:val="WW8Num48"/>
    <w:qFormat/>
    <w:rsid w:val="00801AA1"/>
  </w:style>
  <w:style w:type="numbering" w:customStyle="1" w:styleId="WW8Num49">
    <w:name w:val="WW8Num49"/>
    <w:qFormat/>
    <w:rsid w:val="00801AA1"/>
  </w:style>
  <w:style w:type="numbering" w:customStyle="1" w:styleId="WW8Num50">
    <w:name w:val="WW8Num50"/>
    <w:qFormat/>
    <w:rsid w:val="00801AA1"/>
  </w:style>
  <w:style w:type="numbering" w:customStyle="1" w:styleId="WW8Num51">
    <w:name w:val="WW8Num51"/>
    <w:qFormat/>
    <w:rsid w:val="00801AA1"/>
  </w:style>
  <w:style w:type="numbering" w:customStyle="1" w:styleId="WW8Num52">
    <w:name w:val="WW8Num52"/>
    <w:qFormat/>
    <w:rsid w:val="00801AA1"/>
  </w:style>
  <w:style w:type="paragraph" w:styleId="ae">
    <w:name w:val="List Paragraph"/>
    <w:basedOn w:val="a"/>
    <w:uiPriority w:val="34"/>
    <w:qFormat/>
    <w:rsid w:val="002B4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9219-580A-488F-ACA6-86F8E07B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fu_user</dc:creator>
  <dc:description/>
  <cp:lastModifiedBy>user1</cp:lastModifiedBy>
  <cp:revision>51</cp:revision>
  <cp:lastPrinted>2018-11-13T12:12:00Z</cp:lastPrinted>
  <dcterms:created xsi:type="dcterms:W3CDTF">2017-11-07T12:59:00Z</dcterms:created>
  <dcterms:modified xsi:type="dcterms:W3CDTF">2018-11-15T10:19:00Z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