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>Дополнительное соглашение №  1</w:t>
      </w:r>
    </w:p>
    <w:p>
      <w:pPr>
        <w:pStyle w:val="para1"/>
        <w:spacing w:line="240" w:lineRule="auto"/>
      </w:pPr>
      <w:r>
        <w:rPr>
          <w:spacing w:val="-17"/>
          <w:sz w:val="22"/>
          <w:szCs w:val="22"/>
        </w:rPr>
        <w:t>к соглашению №  59 от  3 декабря  2018 года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r>
        <w:rPr>
          <w:color w:val="000000"/>
          <w:spacing w:val="-1"/>
          <w:sz w:val="22"/>
          <w:szCs w:val="22"/>
        </w:rPr>
        <w:t xml:space="preserve">Нязепетровский муниципальный район" Челябинской области и </w:t>
      </w:r>
      <w:r>
        <w:rPr>
          <w:color w:val="000000"/>
          <w:spacing w:val="-1"/>
          <w:sz w:val="22"/>
          <w:szCs w:val="22"/>
        </w:rPr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муниципальным образованием  "Шемахинское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color w:val="000000"/>
          <w:spacing w:val="-4"/>
          <w:sz w:val="22"/>
          <w:szCs w:val="22"/>
        </w:rPr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1"/>
          <w:sz w:val="22"/>
          <w:szCs w:val="22"/>
        </w:rPr>
        <w:t xml:space="preserve">                                                   20 марта 2019 года  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720"/>
        <w:spacing/>
        <w:jc w:val="both"/>
      </w:pPr>
      <w:r>
        <w:rPr>
          <w:spacing w:val="-2"/>
          <w:sz w:val="22"/>
          <w:szCs w:val="22"/>
        </w:rPr>
        <w:t xml:space="preserve">Муниципальное образование «Нязепетровский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Нязепетровского муниципального района Селиванова Валерия Георгиевича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 xml:space="preserve">муниципальное образование «Шемахинское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Мякишева Юрия Владимировича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>
        <w:rPr>
          <w:spacing w:val="-15"/>
          <w:sz w:val="22"/>
          <w:szCs w:val="22"/>
        </w:rPr>
        <w:t>нижеследующем:</w:t>
      </w:r>
      <w:r/>
    </w:p>
    <w:p>
      <w:pPr>
        <w:rPr>
          <w:spacing w:val="-33"/>
          <w:sz w:val="22"/>
          <w:szCs w:val="22"/>
        </w:rPr>
      </w:pPr>
      <w:r>
        <w:rPr>
          <w:spacing w:val="-33"/>
          <w:sz w:val="22"/>
          <w:szCs w:val="22"/>
        </w:rPr>
      </w:r>
    </w:p>
    <w:p>
      <w:pPr>
        <w:ind w:firstLine="737"/>
        <w:spacing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2"/>
          <w:szCs w:val="22"/>
        </w:rPr>
        <w:t>:</w:t>
      </w:r>
      <w:r/>
    </w:p>
    <w:p>
      <w:pPr>
        <w:ind w:firstLine="737"/>
        <w:spacing/>
        <w:jc w:val="both"/>
      </w:pPr>
      <w:r>
        <w:rPr>
          <w:color w:val="000000"/>
          <w:spacing w:val="-4"/>
          <w:sz w:val="22"/>
          <w:szCs w:val="22"/>
        </w:rPr>
        <w:t>1) 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  <w:r/>
    </w:p>
    <w:p>
      <w:pPr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1"/>
        <w:tabOrder w:val="0"/>
        <w:jc w:val="left"/>
        <w:tblInd w:w="-29" w:type="dxa"/>
        <w:tblW w:w="10178" w:type="dxa"/>
      </w:tblPr>
      <w:tblGrid>
        <w:gridCol w:w="8750"/>
        <w:gridCol w:w="1428"/>
      </w:tblGrid>
      <w:tr>
        <w:trPr>
          <w:trHeight w:val="3969" w:hRule="atLeast"/>
        </w:trPr>
        <w:tc>
          <w:tcPr>
            <w:tcW w:w="87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3066261" protected="1"/>
          </w:tcPr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 xml:space="preserve">    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  <w:r/>
          </w:p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>         зимнего содержания автомобильных дорог местного значения в границах населенных пунктов сельского поселения;</w:t>
            </w:r>
            <w:r/>
          </w:p>
          <w:p>
            <w:pPr>
              <w:spacing/>
              <w:jc w:val="both"/>
            </w:pPr>
            <w:r>
              <w:rPr>
                <w:b/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</w:t>
            </w:r>
            <w:r/>
          </w:p>
          <w:p>
            <w:pPr>
              <w: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       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066261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</w:pPr>
            <w:r>
              <w:rPr>
                <w:sz w:val="22"/>
                <w:szCs w:val="22"/>
              </w:rPr>
              <w:t>942, 0</w:t>
            </w: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1915, 2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ind w:firstLine="737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2) </w:t>
      </w:r>
      <w:r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вне границ населенных пунктов сельского поселения, изложить в следующей редакции:</w:t>
      </w:r>
      <w:r>
        <w:rPr>
          <w:color w:val="000000"/>
          <w:spacing w:val="-4"/>
          <w:sz w:val="22"/>
          <w:szCs w:val="22"/>
        </w:rPr>
      </w:r>
    </w:p>
    <w:p>
      <w:pPr>
        <w:ind w:firstLine="737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3"/>
        <w:tabOrder w:val="0"/>
        <w:jc w:val="left"/>
        <w:tblInd w:w="0" w:type="dxa"/>
        <w:tblW w:w="10071" w:type="dxa"/>
      </w:tblPr>
      <w:tblGrid>
        <w:gridCol w:w="8748"/>
        <w:gridCol w:w="1323"/>
      </w:tblGrid>
      <w:tr>
        <w:trPr>
          <w:trHeight w:val="555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3066261" protected="1"/>
          </w:tcPr>
          <w:p>
            <w:pPr>
              <w:ind w:firstLine="709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31"/>
                  <w:color w:val="000000"/>
                  <w:sz w:val="22"/>
                  <w:szCs w:val="22"/>
                  <w:u w:color="auto" w:val="none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</w:t>
            </w:r>
            <w:r>
              <w:rPr>
                <w:b/>
                <w:sz w:val="22"/>
                <w:szCs w:val="22"/>
              </w:rPr>
              <w:t>в части: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>
              <w:rPr>
                <w:sz w:val="22"/>
                <w:szCs w:val="22"/>
              </w:rPr>
            </w:r>
          </w:p>
          <w:p>
            <w:pPr>
              <w:pStyle w:val="para7"/>
              <w:ind w:firstLine="0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066261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</w:tbl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ind w:firstLine="737"/>
        <w:spacing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  <w:r/>
    </w:p>
    <w:p>
      <w:pPr>
        <w:ind w:firstLine="737"/>
        <w:spacing/>
        <w:jc w:val="both"/>
      </w:pPr>
      <w:r>
        <w:rPr>
          <w:sz w:val="22"/>
          <w:szCs w:val="22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r>
        <w:rPr>
          <w:color w:val="000000"/>
          <w:spacing w:val="-1"/>
          <w:sz w:val="22"/>
          <w:szCs w:val="22"/>
        </w:rPr>
        <w:t>Нязепетровский муниципальный район" и муниципальным образованием "Шемахинское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со дня подписания Сторонами.</w:t>
      </w:r>
      <w:r/>
    </w:p>
    <w:p>
      <w:pPr>
        <w:ind w:firstLine="737"/>
        <w:spacing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name w:val="Таблица2"/>
        <w:tabOrder w:val="0"/>
        <w:jc w:val="left"/>
        <w:tblInd w:w="-108" w:type="dxa"/>
        <w:tblW w:w="10390" w:type="dxa"/>
      </w:tblPr>
      <w:tblGrid>
        <w:gridCol w:w="5195"/>
        <w:gridCol w:w="5195"/>
      </w:tblGrid>
      <w:tr>
        <w:trPr>
          <w:trHeight w:val="993" w:hRule="atLeast"/>
        </w:trPr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3066261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«Нязепетровский муниципальный район»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Нязепетровского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                  В.Г. Селиванов</w:t>
            </w: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3066261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«Шемахинское сельское поселение»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456991 с. Шемаха, ул. Калинина, 20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Нязепетровский район, Челябинская область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Шемахинского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   Ю.В. Мякишев                                             </w:t>
            </w:r>
          </w:p>
        </w:tc>
      </w:tr>
    </w:tbl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601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78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3066261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cp:keywords/>
  <dc:description/>
  <cp:lastModifiedBy/>
  <cp:revision>4</cp:revision>
  <cp:lastPrinted>2019-03-20T06:12:58Z</cp:lastPrinted>
  <dcterms:created xsi:type="dcterms:W3CDTF">2011-02-09T09:04:00Z</dcterms:created>
  <dcterms:modified xsi:type="dcterms:W3CDTF">2019-03-20T07:17:41Z</dcterms:modified>
</cp:coreProperties>
</file>