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A3" w:rsidRDefault="009D50A3" w:rsidP="009D50A3">
      <w:r>
        <w:t>Минэкономразвития РФ в требованиях к проведению конкурсов для СО НКО на реализацию социально значимых программ указал, что не менее 50% объема субсидий из федерального бюджета должно выделяться на поддержку деятельности СО НКО в области оказания услуг в социальной сфере в соответствии со следующими видами деятельности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социальная поддержка и защита граждан;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охрана окружающей среды и защита животных;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профилактика социально опасных форм поведения граждан;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благотворительная деятельность, а также деятельность в области содействия благотворительности и добровольчества;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формирование в обществе нетерпимости к коррупционному поведению;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участие в профилактике и (или) тушении пожаров и проведении аварийно-спасательных работ;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социальная и культурная адаптация и интеграция мигрантов;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 xml:space="preserve">мероприятия по медицинской реабилитации и социальной реабилитации, социальной и трудовой </w:t>
      </w:r>
      <w:proofErr w:type="spellStart"/>
      <w:r>
        <w:t>реинтеграции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веществ;</w:t>
      </w:r>
    </w:p>
    <w:p w:rsidR="009D50A3" w:rsidRDefault="009D50A3" w:rsidP="009D50A3">
      <w:pPr>
        <w:pStyle w:val="a3"/>
        <w:numPr>
          <w:ilvl w:val="0"/>
          <w:numId w:val="1"/>
        </w:numPr>
      </w:pPr>
      <w:r>
        <w:t>содействие повышению мобильности трудовых ресурсов.</w:t>
      </w:r>
    </w:p>
    <w:p w:rsidR="00D02510" w:rsidRDefault="00D02510">
      <w:bookmarkStart w:id="0" w:name="_GoBack"/>
      <w:bookmarkEnd w:id="0"/>
    </w:p>
    <w:sectPr w:rsidR="00D0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1761"/>
    <w:multiLevelType w:val="hybridMultilevel"/>
    <w:tmpl w:val="502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E"/>
    <w:rsid w:val="009D50A3"/>
    <w:rsid w:val="00A37F9E"/>
    <w:rsid w:val="00D0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C1318-429D-4AD8-833F-A9D2D1A0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GosPortal</dc:creator>
  <cp:keywords/>
  <dc:description/>
  <cp:lastModifiedBy>GosPortal</cp:lastModifiedBy>
  <cp:revision>2</cp:revision>
  <dcterms:created xsi:type="dcterms:W3CDTF">2018-11-12T08:28:00Z</dcterms:created>
  <dcterms:modified xsi:type="dcterms:W3CDTF">2018-11-12T08:28:00Z</dcterms:modified>
</cp:coreProperties>
</file>