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A8" w:rsidRPr="00850A33" w:rsidRDefault="008B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850A33">
        <w:rPr>
          <w:rFonts w:ascii="Times New Roman" w:hAnsi="Times New Roman" w:cs="Times New Roman"/>
          <w:sz w:val="24"/>
          <w:szCs w:val="24"/>
        </w:rPr>
        <w:t xml:space="preserve">За 1 полугодие 2026 года состоялось одно заседание Коллегии по рассмотрению результатов контрольных мероприятий, проведенных Контрольно-счетной палатой Нязепетровского муниципального округа. </w:t>
      </w:r>
    </w:p>
    <w:p w:rsidR="00694BA8" w:rsidRPr="00850A33" w:rsidRDefault="008B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A33">
        <w:rPr>
          <w:rFonts w:ascii="Times New Roman" w:hAnsi="Times New Roman" w:cs="Times New Roman"/>
          <w:sz w:val="24"/>
          <w:szCs w:val="24"/>
        </w:rPr>
        <w:t xml:space="preserve">    На заседании Коллегии было рассмотрено 3 вопроса:</w:t>
      </w:r>
    </w:p>
    <w:p w:rsidR="00694BA8" w:rsidRPr="00850A33" w:rsidRDefault="0069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BA8" w:rsidRPr="00850A33" w:rsidRDefault="008B3251">
      <w:pPr>
        <w:pStyle w:val="a8"/>
        <w:numPr>
          <w:ilvl w:val="0"/>
          <w:numId w:val="1"/>
        </w:numPr>
        <w:tabs>
          <w:tab w:val="left" w:pos="567"/>
          <w:tab w:val="left" w:pos="4356"/>
        </w:tabs>
        <w:spacing w:line="240" w:lineRule="auto"/>
        <w:ind w:left="0" w:firstLine="284"/>
        <w:rPr>
          <w:b/>
          <w:sz w:val="24"/>
          <w:szCs w:val="24"/>
        </w:rPr>
      </w:pPr>
      <w:r w:rsidRPr="00850A33">
        <w:rPr>
          <w:b/>
          <w:sz w:val="24"/>
          <w:szCs w:val="24"/>
        </w:rPr>
        <w:t xml:space="preserve">Отчет по результатам контрольного мероприятия, проведенного в </w:t>
      </w:r>
      <w:r w:rsidRPr="00850A33">
        <w:rPr>
          <w:b/>
          <w:sz w:val="24"/>
          <w:szCs w:val="24"/>
        </w:rPr>
        <w:t>м</w:t>
      </w:r>
      <w:r w:rsidRPr="00850A33">
        <w:rPr>
          <w:b/>
          <w:sz w:val="24"/>
          <w:szCs w:val="24"/>
        </w:rPr>
        <w:t xml:space="preserve">униципальном бюджетном учреждении дополнительного образования «Станция юных натуралистов» по вопросу: «Проверка целевого и эффективного использования </w:t>
      </w:r>
      <w:proofErr w:type="gramStart"/>
      <w:r w:rsidRPr="00850A33">
        <w:rPr>
          <w:b/>
          <w:sz w:val="24"/>
          <w:szCs w:val="24"/>
        </w:rPr>
        <w:t>бюджетных</w:t>
      </w:r>
      <w:proofErr w:type="gramEnd"/>
      <w:r w:rsidRPr="00850A33">
        <w:rPr>
          <w:b/>
          <w:sz w:val="24"/>
          <w:szCs w:val="24"/>
        </w:rPr>
        <w:t xml:space="preserve"> средств». </w:t>
      </w:r>
    </w:p>
    <w:p w:rsidR="00694BA8" w:rsidRPr="00850A33" w:rsidRDefault="008B3251">
      <w:pPr>
        <w:pStyle w:val="a8"/>
        <w:tabs>
          <w:tab w:val="left" w:pos="1338"/>
          <w:tab w:val="left" w:pos="4356"/>
        </w:tabs>
        <w:spacing w:line="240" w:lineRule="auto"/>
        <w:ind w:left="284" w:firstLine="0"/>
        <w:rPr>
          <w:sz w:val="24"/>
          <w:szCs w:val="24"/>
        </w:rPr>
      </w:pPr>
      <w:r w:rsidRPr="00850A33">
        <w:rPr>
          <w:sz w:val="24"/>
          <w:szCs w:val="24"/>
        </w:rPr>
        <w:t>В ходе проверки устано</w:t>
      </w:r>
      <w:r w:rsidRPr="00850A33">
        <w:rPr>
          <w:sz w:val="24"/>
          <w:szCs w:val="24"/>
        </w:rPr>
        <w:t xml:space="preserve">влено следующее: </w:t>
      </w:r>
    </w:p>
    <w:p w:rsidR="00694BA8" w:rsidRPr="00850A33" w:rsidRDefault="008B3251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rPr>
          <w:b/>
          <w:sz w:val="24"/>
          <w:szCs w:val="24"/>
        </w:rPr>
      </w:pPr>
      <w:r w:rsidRPr="00850A33">
        <w:rPr>
          <w:b/>
          <w:i/>
          <w:sz w:val="24"/>
          <w:szCs w:val="24"/>
        </w:rPr>
        <w:t xml:space="preserve">Неэффективное использование </w:t>
      </w:r>
      <w:proofErr w:type="gramStart"/>
      <w:r w:rsidRPr="00850A33">
        <w:rPr>
          <w:b/>
          <w:i/>
          <w:sz w:val="24"/>
          <w:szCs w:val="24"/>
        </w:rPr>
        <w:t>бюджетных</w:t>
      </w:r>
      <w:proofErr w:type="gramEnd"/>
      <w:r w:rsidRPr="00850A33">
        <w:rPr>
          <w:b/>
          <w:i/>
          <w:sz w:val="24"/>
          <w:szCs w:val="24"/>
        </w:rPr>
        <w:t xml:space="preserve"> средств:</w:t>
      </w:r>
    </w:p>
    <w:p w:rsidR="00694BA8" w:rsidRPr="00850A33" w:rsidRDefault="008B3251">
      <w:pPr>
        <w:pStyle w:val="a8"/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850A33">
        <w:rPr>
          <w:sz w:val="24"/>
          <w:szCs w:val="24"/>
        </w:rPr>
        <w:t>В нарушени</w:t>
      </w:r>
      <w:r w:rsidRPr="00850A33">
        <w:rPr>
          <w:sz w:val="24"/>
          <w:szCs w:val="24"/>
        </w:rPr>
        <w:t>и</w:t>
      </w:r>
      <w:r w:rsidRPr="00850A33">
        <w:rPr>
          <w:sz w:val="24"/>
          <w:szCs w:val="24"/>
        </w:rPr>
        <w:t xml:space="preserve"> статьи 34 БК РФ </w:t>
      </w:r>
      <w:r w:rsidRPr="00850A33">
        <w:rPr>
          <w:sz w:val="24"/>
          <w:szCs w:val="24"/>
        </w:rPr>
        <w:t xml:space="preserve"> </w:t>
      </w:r>
      <w:r w:rsidRPr="00850A33">
        <w:rPr>
          <w:sz w:val="24"/>
          <w:szCs w:val="24"/>
        </w:rPr>
        <w:t>в</w:t>
      </w:r>
      <w:r w:rsidRPr="00850A33">
        <w:rPr>
          <w:sz w:val="24"/>
          <w:szCs w:val="24"/>
        </w:rPr>
        <w:t xml:space="preserve"> </w:t>
      </w:r>
      <w:r w:rsidRPr="00850A33">
        <w:rPr>
          <w:sz w:val="24"/>
          <w:szCs w:val="24"/>
        </w:rPr>
        <w:t>2024 году было выплачено стимулирующих выплат  сотрудникам (педагогам дополнительного образования) МБУ ДО «СЮН» без протокола о создании рабочей комиссии, прото</w:t>
      </w:r>
      <w:r w:rsidRPr="00850A33">
        <w:rPr>
          <w:sz w:val="24"/>
          <w:szCs w:val="24"/>
        </w:rPr>
        <w:t>кола рабочей комиссии  об установлении стимулирующих выплат, листов эффективности</w:t>
      </w:r>
      <w:r w:rsidRPr="00850A33">
        <w:rPr>
          <w:sz w:val="24"/>
          <w:szCs w:val="24"/>
        </w:rPr>
        <w:t>,</w:t>
      </w:r>
      <w:r w:rsidRPr="00850A33">
        <w:rPr>
          <w:sz w:val="24"/>
          <w:szCs w:val="24"/>
        </w:rPr>
        <w:t xml:space="preserve">  на общую  сумму  117,0 тыс. рублей;</w:t>
      </w:r>
    </w:p>
    <w:p w:rsidR="00694BA8" w:rsidRPr="00850A33" w:rsidRDefault="008B3251">
      <w:pPr>
        <w:pStyle w:val="a9"/>
        <w:numPr>
          <w:ilvl w:val="0"/>
          <w:numId w:val="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50A33">
        <w:rPr>
          <w:rFonts w:ascii="Times New Roman" w:hAnsi="Times New Roman"/>
          <w:b/>
          <w:i/>
          <w:sz w:val="24"/>
          <w:szCs w:val="24"/>
        </w:rPr>
        <w:t>Нару</w:t>
      </w:r>
      <w:r w:rsidRPr="00850A33">
        <w:rPr>
          <w:rFonts w:ascii="Times New Roman" w:hAnsi="Times New Roman"/>
          <w:b/>
          <w:i/>
          <w:sz w:val="24"/>
          <w:szCs w:val="24"/>
        </w:rPr>
        <w:t xml:space="preserve">шение  законодательства о бухгалтерском учете и требований по составлению отчетности: </w:t>
      </w:r>
    </w:p>
    <w:p w:rsidR="00694BA8" w:rsidRPr="00850A33" w:rsidRDefault="00694BA8">
      <w:pPr>
        <w:pStyle w:val="a9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 xml:space="preserve">1.  В нарушении  ст. 152 Трудового кодекса РФ и п. 6 «Положения о суммированном учете рабочего времени», что оплата сверхурочных часов  сторожам  не производилась  в  результате чего, образовалась недоплата за сверхурочные часы за 2024 год, </w:t>
      </w:r>
      <w:r w:rsidRPr="00850A33">
        <w:rPr>
          <w:rFonts w:ascii="Times New Roman" w:hAnsi="Times New Roman"/>
          <w:sz w:val="24"/>
          <w:szCs w:val="24"/>
        </w:rPr>
        <w:t>которая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 xml:space="preserve"> состав</w:t>
      </w:r>
      <w:r w:rsidRPr="00850A33">
        <w:rPr>
          <w:rFonts w:ascii="Times New Roman" w:hAnsi="Times New Roman"/>
          <w:sz w:val="24"/>
          <w:szCs w:val="24"/>
        </w:rPr>
        <w:t>ила 10 430,51 рублей, за 2025 год  -   в сумме  10 625,17 рублей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>2.  В нарушении п. 25  пп.7 Положения  об оплате труда работников МБУ ДО «СЮН»  доплата за ночное  время  производи</w:t>
      </w:r>
      <w:r w:rsidRPr="00850A33">
        <w:rPr>
          <w:rFonts w:ascii="Times New Roman" w:hAnsi="Times New Roman"/>
          <w:sz w:val="24"/>
          <w:szCs w:val="24"/>
        </w:rPr>
        <w:t>лась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 xml:space="preserve"> работникам за каждый час работы в ночное время. В результате неверного</w:t>
      </w:r>
      <w:r w:rsidRPr="00850A33">
        <w:rPr>
          <w:rFonts w:ascii="Times New Roman" w:hAnsi="Times New Roman"/>
          <w:sz w:val="24"/>
          <w:szCs w:val="24"/>
        </w:rPr>
        <w:t xml:space="preserve"> начисления заработной платы за ночное время  сторожам за 2024 год излишне начисленная заработная плата составила – 7 729,61 рублей, за 2025 год – 2 382,46 рублей. 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>3.   В результате выявленных арифметических нарушений  в начислениях оплаты труда сотрудник</w:t>
      </w:r>
      <w:r w:rsidRPr="00850A33">
        <w:rPr>
          <w:rFonts w:ascii="Times New Roman" w:hAnsi="Times New Roman"/>
          <w:sz w:val="24"/>
          <w:szCs w:val="24"/>
        </w:rPr>
        <w:t xml:space="preserve">ов МБУ ДО «СЮН», </w:t>
      </w:r>
      <w:proofErr w:type="spellStart"/>
      <w:r w:rsidRPr="00850A33">
        <w:rPr>
          <w:rFonts w:ascii="Times New Roman" w:hAnsi="Times New Roman"/>
          <w:sz w:val="24"/>
          <w:szCs w:val="24"/>
        </w:rPr>
        <w:t>недоначисленная</w:t>
      </w:r>
      <w:proofErr w:type="spellEnd"/>
      <w:r w:rsidRPr="00850A33">
        <w:rPr>
          <w:rFonts w:ascii="Times New Roman" w:hAnsi="Times New Roman"/>
          <w:sz w:val="24"/>
          <w:szCs w:val="24"/>
        </w:rPr>
        <w:t xml:space="preserve"> заработная плата состав</w:t>
      </w:r>
      <w:r w:rsidRPr="00850A33">
        <w:rPr>
          <w:rFonts w:ascii="Times New Roman" w:hAnsi="Times New Roman"/>
          <w:sz w:val="24"/>
          <w:szCs w:val="24"/>
        </w:rPr>
        <w:t>ила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>39 754,6 рублей, излишне начисленная заработная плата состав</w:t>
      </w:r>
      <w:r w:rsidRPr="00850A33">
        <w:rPr>
          <w:rFonts w:ascii="Times New Roman" w:hAnsi="Times New Roman"/>
          <w:sz w:val="24"/>
          <w:szCs w:val="24"/>
        </w:rPr>
        <w:t>ила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>6 709,27 рублей;</w:t>
      </w:r>
    </w:p>
    <w:p w:rsidR="00694BA8" w:rsidRPr="00850A33" w:rsidRDefault="00694BA8">
      <w:pPr>
        <w:pStyle w:val="a8"/>
        <w:tabs>
          <w:tab w:val="left" w:pos="0"/>
          <w:tab w:val="left" w:pos="567"/>
        </w:tabs>
        <w:spacing w:line="240" w:lineRule="auto"/>
        <w:ind w:left="644" w:firstLine="0"/>
        <w:rPr>
          <w:sz w:val="24"/>
          <w:szCs w:val="24"/>
        </w:rPr>
      </w:pPr>
    </w:p>
    <w:p w:rsidR="00694BA8" w:rsidRPr="00850A33" w:rsidRDefault="008B3251">
      <w:pPr>
        <w:pStyle w:val="a8"/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rPr>
          <w:b/>
          <w:i/>
          <w:sz w:val="24"/>
          <w:szCs w:val="24"/>
        </w:rPr>
      </w:pPr>
      <w:r w:rsidRPr="00850A33">
        <w:rPr>
          <w:b/>
          <w:i/>
          <w:sz w:val="24"/>
          <w:szCs w:val="24"/>
        </w:rPr>
        <w:t>Иные нарушения: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 xml:space="preserve">1.   В нарушении ст.57 Трудового кодекса РФ в трудовых договорах  педагогов дополнительного </w:t>
      </w:r>
      <w:r w:rsidRPr="00850A33">
        <w:rPr>
          <w:rFonts w:ascii="Times New Roman" w:hAnsi="Times New Roman"/>
          <w:sz w:val="24"/>
          <w:szCs w:val="24"/>
        </w:rPr>
        <w:t>образования  не указан объем учебной нагрузки;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>2.  В нарушении ст. 282 Трудового кодекса РФ с педагогами дополнительного образования было заключено по два трудовых договора, каждый из которых был основным.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>3.  В нарушении ст. 152 Трудового кодекса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 xml:space="preserve"> в 2024 </w:t>
      </w:r>
      <w:r w:rsidRPr="00850A33">
        <w:rPr>
          <w:rFonts w:ascii="Times New Roman" w:hAnsi="Times New Roman"/>
          <w:sz w:val="24"/>
          <w:szCs w:val="24"/>
        </w:rPr>
        <w:t xml:space="preserve">году учет времени  сверхурочных часов работы  сотрудников (сторожей) МБУ ДО «СЮН» для оплаты труда не производился. В 2025 году была начислена </w:t>
      </w:r>
      <w:r w:rsidRPr="00850A33">
        <w:rPr>
          <w:rFonts w:ascii="Times New Roman" w:hAnsi="Times New Roman"/>
          <w:sz w:val="24"/>
          <w:szCs w:val="24"/>
        </w:rPr>
        <w:t>д</w:t>
      </w:r>
      <w:r w:rsidRPr="00850A33">
        <w:rPr>
          <w:rFonts w:ascii="Times New Roman" w:hAnsi="Times New Roman"/>
          <w:sz w:val="24"/>
          <w:szCs w:val="24"/>
        </w:rPr>
        <w:t xml:space="preserve">оплата 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>за</w:t>
      </w:r>
      <w:r w:rsidRPr="00850A33">
        <w:rPr>
          <w:rFonts w:ascii="Times New Roman" w:hAnsi="Times New Roman"/>
          <w:sz w:val="24"/>
          <w:szCs w:val="24"/>
        </w:rPr>
        <w:t xml:space="preserve"> </w:t>
      </w:r>
      <w:r w:rsidRPr="00850A33">
        <w:rPr>
          <w:rFonts w:ascii="Times New Roman" w:hAnsi="Times New Roman"/>
          <w:sz w:val="24"/>
          <w:szCs w:val="24"/>
        </w:rPr>
        <w:t>сверхурочны</w:t>
      </w:r>
      <w:r w:rsidRPr="00850A33">
        <w:rPr>
          <w:rFonts w:ascii="Times New Roman" w:hAnsi="Times New Roman"/>
          <w:sz w:val="24"/>
          <w:szCs w:val="24"/>
        </w:rPr>
        <w:t>е</w:t>
      </w:r>
      <w:r w:rsidRPr="00850A33">
        <w:rPr>
          <w:rFonts w:ascii="Times New Roman" w:hAnsi="Times New Roman"/>
          <w:sz w:val="24"/>
          <w:szCs w:val="24"/>
        </w:rPr>
        <w:t xml:space="preserve"> час</w:t>
      </w:r>
      <w:r w:rsidRPr="00850A33">
        <w:rPr>
          <w:rFonts w:ascii="Times New Roman" w:hAnsi="Times New Roman"/>
          <w:sz w:val="24"/>
          <w:szCs w:val="24"/>
        </w:rPr>
        <w:t>ы</w:t>
      </w:r>
      <w:r w:rsidRPr="00850A33">
        <w:rPr>
          <w:rFonts w:ascii="Times New Roman" w:hAnsi="Times New Roman"/>
          <w:sz w:val="24"/>
          <w:szCs w:val="24"/>
        </w:rPr>
        <w:t xml:space="preserve"> сразу за три квартала 2025г., что не соответствует установленному порядку, так как </w:t>
      </w:r>
      <w:r w:rsidRPr="00850A33">
        <w:rPr>
          <w:rFonts w:ascii="Times New Roman" w:hAnsi="Times New Roman"/>
          <w:sz w:val="24"/>
          <w:szCs w:val="24"/>
        </w:rPr>
        <w:t>учетный период для расчета сверхурочных часов выбран – один квартал, а также не произведен подсчет сверхурочных часов за 4 квартал 2025 года.</w:t>
      </w:r>
    </w:p>
    <w:p w:rsidR="00694BA8" w:rsidRPr="00850A33" w:rsidRDefault="008B32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50A33">
        <w:rPr>
          <w:rFonts w:ascii="Times New Roman" w:hAnsi="Times New Roman"/>
          <w:sz w:val="24"/>
          <w:szCs w:val="24"/>
        </w:rPr>
        <w:t>4.  В нарушении  ст. 135 Трудового кодекса сотрудникам педагогам дополнительного образования - внешним совместител</w:t>
      </w:r>
      <w:r w:rsidRPr="00850A33">
        <w:rPr>
          <w:rFonts w:ascii="Times New Roman" w:hAnsi="Times New Roman"/>
          <w:sz w:val="24"/>
          <w:szCs w:val="24"/>
        </w:rPr>
        <w:t>ям не выплачивали премии по итогам работы учреждения.</w:t>
      </w:r>
    </w:p>
    <w:p w:rsidR="00694BA8" w:rsidRPr="00850A33" w:rsidRDefault="00694BA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94BA8" w:rsidRPr="00850A33" w:rsidRDefault="008B3251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0A33">
        <w:rPr>
          <w:b/>
          <w:sz w:val="24"/>
          <w:szCs w:val="24"/>
        </w:rPr>
        <w:t xml:space="preserve">       </w:t>
      </w:r>
      <w:r w:rsidRPr="00850A33">
        <w:rPr>
          <w:rFonts w:ascii="Times New Roman" w:hAnsi="Times New Roman" w:cs="Times New Roman"/>
          <w:b/>
          <w:sz w:val="24"/>
          <w:szCs w:val="24"/>
        </w:rPr>
        <w:t>2.Заключение по результатам экспертно-аналитического мероприятия, проведенного в Муниципальном бюджетном учреждении дополнительного образования «Станция юных натуралистов» по вопросу: «</w:t>
      </w:r>
      <w:r w:rsidRPr="00850A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Аудит эффективности в сфере закупок товаров, работ и услуг в соответствии с Федеральным законом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</w:t>
      </w:r>
      <w:r w:rsidRPr="00850A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ии бюджетных средств». </w:t>
      </w:r>
    </w:p>
    <w:p w:rsidR="00694BA8" w:rsidRPr="00850A33" w:rsidRDefault="008B3251">
      <w:pPr>
        <w:pStyle w:val="a8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  <w:r w:rsidRPr="00850A33">
        <w:rPr>
          <w:sz w:val="24"/>
          <w:szCs w:val="24"/>
        </w:rPr>
        <w:t xml:space="preserve">Настоящей проверкой установлены следующие нарушения: </w:t>
      </w:r>
    </w:p>
    <w:p w:rsidR="00694BA8" w:rsidRPr="00850A33" w:rsidRDefault="00694BA8">
      <w:pPr>
        <w:pStyle w:val="a8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</w:p>
    <w:p w:rsidR="00694BA8" w:rsidRPr="00850A33" w:rsidRDefault="008B3251">
      <w:pPr>
        <w:pStyle w:val="a8"/>
        <w:numPr>
          <w:ilvl w:val="0"/>
          <w:numId w:val="2"/>
        </w:numPr>
        <w:tabs>
          <w:tab w:val="left" w:pos="1338"/>
          <w:tab w:val="left" w:pos="4356"/>
        </w:tabs>
        <w:spacing w:line="240" w:lineRule="auto"/>
        <w:ind w:left="284"/>
        <w:rPr>
          <w:sz w:val="24"/>
          <w:szCs w:val="24"/>
        </w:rPr>
      </w:pPr>
      <w:r w:rsidRPr="00850A33">
        <w:rPr>
          <w:sz w:val="24"/>
          <w:szCs w:val="24"/>
        </w:rPr>
        <w:t>В ходе проведенного аудита выявлены нарушения ст.34 Федерального закона №44-ФЗ</w:t>
      </w:r>
      <w:r w:rsidRPr="00850A33">
        <w:rPr>
          <w:sz w:val="24"/>
          <w:szCs w:val="24"/>
        </w:rPr>
        <w:t>,</w:t>
      </w:r>
      <w:r w:rsidRPr="00850A33">
        <w:rPr>
          <w:sz w:val="24"/>
          <w:szCs w:val="24"/>
        </w:rPr>
        <w:t xml:space="preserve"> </w:t>
      </w:r>
      <w:r w:rsidRPr="00850A33">
        <w:rPr>
          <w:sz w:val="24"/>
          <w:szCs w:val="24"/>
        </w:rPr>
        <w:t>в части неверного установления сроков оплаты по 3 проверенным договорам (контрактам).</w:t>
      </w:r>
    </w:p>
    <w:p w:rsidR="00694BA8" w:rsidRPr="00850A33" w:rsidRDefault="00694BA8">
      <w:pPr>
        <w:pStyle w:val="a8"/>
        <w:tabs>
          <w:tab w:val="left" w:pos="1338"/>
          <w:tab w:val="left" w:pos="4356"/>
        </w:tabs>
        <w:spacing w:line="240" w:lineRule="auto"/>
        <w:ind w:left="284" w:firstLine="0"/>
        <w:rPr>
          <w:sz w:val="24"/>
          <w:szCs w:val="24"/>
        </w:rPr>
      </w:pPr>
    </w:p>
    <w:p w:rsidR="00694BA8" w:rsidRPr="00850A33" w:rsidRDefault="00694BA8">
      <w:pPr>
        <w:pStyle w:val="a8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</w:p>
    <w:p w:rsidR="00694BA8" w:rsidRPr="00850A33" w:rsidRDefault="00694BA8">
      <w:pPr>
        <w:pStyle w:val="a8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</w:p>
    <w:p w:rsidR="00694BA8" w:rsidRPr="00850A33" w:rsidRDefault="00694BA8">
      <w:pPr>
        <w:spacing w:after="0" w:line="240" w:lineRule="auto"/>
        <w:ind w:right="2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4BA8" w:rsidRPr="00850A33" w:rsidRDefault="00694BA8">
      <w:pPr>
        <w:spacing w:after="0" w:line="240" w:lineRule="auto"/>
        <w:ind w:right="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4BA8" w:rsidRPr="00850A33" w:rsidRDefault="00694BA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694BA8" w:rsidRPr="00850A33" w:rsidRDefault="008B3251">
      <w:pPr>
        <w:spacing w:line="240" w:lineRule="auto"/>
        <w:ind w:left="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A33">
        <w:rPr>
          <w:rFonts w:ascii="Times New Roman" w:hAnsi="Times New Roman" w:cs="Times New Roman"/>
          <w:b/>
          <w:sz w:val="24"/>
          <w:szCs w:val="24"/>
        </w:rPr>
        <w:t xml:space="preserve">3. Отчет о результатах внешней проверки годовой бюджетной отчетности главных администраторов бюджетных средств Нязепетровского муниципального округа за 2025 год. </w:t>
      </w:r>
    </w:p>
    <w:p w:rsidR="00694BA8" w:rsidRPr="00850A33" w:rsidRDefault="008B3251">
      <w:pPr>
        <w:pStyle w:val="a8"/>
        <w:tabs>
          <w:tab w:val="left" w:pos="142"/>
        </w:tabs>
        <w:spacing w:line="240" w:lineRule="auto"/>
        <w:ind w:left="284" w:hanging="284"/>
        <w:rPr>
          <w:rFonts w:eastAsiaTheme="minorEastAsia"/>
          <w:b/>
          <w:i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      </w:t>
      </w:r>
      <w:r w:rsidRPr="00850A33">
        <w:rPr>
          <w:rFonts w:eastAsiaTheme="minorEastAsia"/>
          <w:b/>
          <w:i/>
          <w:sz w:val="24"/>
          <w:szCs w:val="24"/>
        </w:rPr>
        <w:t xml:space="preserve">Характерными недостатками и нарушениями, выявленными при проведении внешней проверки бюджетной отчетности, являются: 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несоблюдении принципа эффективности, предусмотренного ст. 34 БК РФ произошло отвлечение средств в счет  дебиторской задолженности в ви</w:t>
      </w:r>
      <w:r w:rsidRPr="00850A33">
        <w:rPr>
          <w:rFonts w:eastAsiaTheme="minorEastAsia"/>
          <w:sz w:val="24"/>
          <w:szCs w:val="24"/>
        </w:rPr>
        <w:t>де переплаты за газоснабжение в сумме 31,9  тыс. рублей, а также  в сумме 14 909,9 тыс. рублей, в связи с уплатой штрафов и пеней;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</w:t>
      </w:r>
      <w:proofErr w:type="gramStart"/>
      <w:r w:rsidRPr="00850A33">
        <w:rPr>
          <w:rFonts w:eastAsiaTheme="minorEastAsia"/>
          <w:sz w:val="24"/>
          <w:szCs w:val="24"/>
        </w:rPr>
        <w:t>В нарушени</w:t>
      </w:r>
      <w:r w:rsidRPr="00850A33">
        <w:rPr>
          <w:rFonts w:eastAsiaTheme="minorEastAsia"/>
          <w:sz w:val="24"/>
          <w:szCs w:val="24"/>
        </w:rPr>
        <w:t>и</w:t>
      </w:r>
      <w:r w:rsidRPr="00850A33">
        <w:rPr>
          <w:rFonts w:eastAsiaTheme="minorEastAsia"/>
          <w:sz w:val="24"/>
          <w:szCs w:val="24"/>
        </w:rPr>
        <w:t xml:space="preserve"> п. 7 Инструкции 191н, при проверке отчёта о финансовых результатах деятельности (ф. 0503121), доходы начислены </w:t>
      </w:r>
      <w:r w:rsidRPr="00850A33">
        <w:rPr>
          <w:rFonts w:eastAsiaTheme="minorEastAsia"/>
          <w:sz w:val="24"/>
          <w:szCs w:val="24"/>
        </w:rPr>
        <w:t>в сумме 218 385,5 тыс. рублей, что соответствуют данным справки по заключению счетов бюджетного учёта отчётного финансового года (ф. 0503110), но не соответствует оборотам Главной книги по кредиту счета 0 40110 000 (204  774,4 тыс. рублей), расхождение сос</w:t>
      </w:r>
      <w:r w:rsidRPr="00850A33">
        <w:rPr>
          <w:rFonts w:eastAsiaTheme="minorEastAsia"/>
          <w:sz w:val="24"/>
          <w:szCs w:val="24"/>
        </w:rPr>
        <w:t>тавляет 13 611,1 тыс. рублей.</w:t>
      </w:r>
      <w:proofErr w:type="gramEnd"/>
      <w:r w:rsidRPr="00850A33">
        <w:rPr>
          <w:rFonts w:eastAsiaTheme="minorEastAsia"/>
          <w:sz w:val="24"/>
          <w:szCs w:val="24"/>
        </w:rPr>
        <w:t xml:space="preserve"> </w:t>
      </w:r>
      <w:proofErr w:type="gramStart"/>
      <w:r w:rsidRPr="00850A33">
        <w:rPr>
          <w:rFonts w:eastAsiaTheme="minorEastAsia"/>
          <w:sz w:val="24"/>
          <w:szCs w:val="24"/>
        </w:rPr>
        <w:t>А также расходы,  согласно данным о   финансовых результатах деятельности (ф. 0503121) начислены в сумме 140 263,9 тыс. рублей, что  соответствует  данным справки по заключению счетов бюджетного учёта отчётного финансового год</w:t>
      </w:r>
      <w:r w:rsidRPr="00850A33">
        <w:rPr>
          <w:rFonts w:eastAsiaTheme="minorEastAsia"/>
          <w:sz w:val="24"/>
          <w:szCs w:val="24"/>
        </w:rPr>
        <w:t xml:space="preserve">а (ф. 0503110), но не соответствует данным Главной книги по кредиту счета 0 40120 000  (140 263,9 тыс. рублей), расхождение составляет 13 611,1 тыс. рублей; </w:t>
      </w:r>
      <w:proofErr w:type="gramEnd"/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п.11.1 Инструкции 191н, годовая бюджетная отчётность за 2025 год предоставлена для п</w:t>
      </w:r>
      <w:r w:rsidRPr="00850A33">
        <w:rPr>
          <w:rFonts w:eastAsiaTheme="minorEastAsia"/>
          <w:sz w:val="24"/>
          <w:szCs w:val="24"/>
        </w:rPr>
        <w:t>роверки не в полном объеме;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 В нарушении п.14 Инструкции 191н данные граф Справки о наличии имущества и обязательств на забалансовых счетах “На начало года” должны соответствовать данным "На конец отчетного периода" предыдущего года. </w:t>
      </w:r>
      <w:proofErr w:type="gramStart"/>
      <w:r w:rsidRPr="00850A33">
        <w:rPr>
          <w:rFonts w:eastAsiaTheme="minorEastAsia"/>
          <w:sz w:val="24"/>
          <w:szCs w:val="24"/>
        </w:rPr>
        <w:t>Проверкой установлен</w:t>
      </w:r>
      <w:r w:rsidRPr="00850A33">
        <w:rPr>
          <w:rFonts w:eastAsiaTheme="minorEastAsia"/>
          <w:sz w:val="24"/>
          <w:szCs w:val="24"/>
        </w:rPr>
        <w:t>о, что данные по коду строки 040 на начало 01.01.2025г не соответствуют строке 040 на конец года 31.12.2024г;</w:t>
      </w:r>
      <w:proofErr w:type="gramEnd"/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</w:t>
      </w:r>
      <w:proofErr w:type="gramStart"/>
      <w:r w:rsidRPr="00850A33">
        <w:rPr>
          <w:rFonts w:eastAsiaTheme="minorEastAsia"/>
          <w:sz w:val="24"/>
          <w:szCs w:val="24"/>
        </w:rPr>
        <w:t xml:space="preserve">В нарушении  п.43 Инструкции 191н  в разделе 1 ф.0503110 по дебету счета 0 40120 000 отражены расходы текущего года в сумме 2614,6 тыс. рублей, </w:t>
      </w:r>
      <w:r w:rsidRPr="00850A33">
        <w:rPr>
          <w:rFonts w:eastAsiaTheme="minorEastAsia"/>
          <w:sz w:val="24"/>
          <w:szCs w:val="24"/>
        </w:rPr>
        <w:t xml:space="preserve">что не соответствует оборотам в Главной книги по данному счету; </w:t>
      </w:r>
      <w:proofErr w:type="gramEnd"/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 56,57  Инструкции 191н, в Главной книге отсутствуют данные по счетам: 1 50113 000 «Лимиты бюджетных обязательств», 1 503 13 000 «Бюджетные ассигнования», а в ф.0503127 нет по</w:t>
      </w:r>
      <w:r w:rsidRPr="00850A33">
        <w:rPr>
          <w:rFonts w:eastAsiaTheme="minorEastAsia"/>
          <w:sz w:val="24"/>
          <w:szCs w:val="24"/>
        </w:rPr>
        <w:t>казателей в графах 4,5 в разделе 2 «Расходы бюджета». В результате невозможно осуществить проверку по данным показателям;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п.70 Инструкции 191н, невозможно провести сверку показателей  ф.0503128 с Главной книгой, т.к. в Главной книге отсутству</w:t>
      </w:r>
      <w:r w:rsidRPr="00850A33">
        <w:rPr>
          <w:rFonts w:eastAsiaTheme="minorEastAsia"/>
          <w:sz w:val="24"/>
          <w:szCs w:val="24"/>
        </w:rPr>
        <w:t xml:space="preserve">ют счета 1 50313 0000 и 1 50315 0000;  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 71 Инструкции 191н, показатели Отчета по графе 9 (ф.0503128) в части принятых денежных обязательств (578 710,1 тыс. рублей) не соответствуют данным Главной книги по соответствующим счетам счета 1 502</w:t>
      </w:r>
      <w:r w:rsidRPr="00850A33">
        <w:rPr>
          <w:rFonts w:eastAsiaTheme="minorEastAsia"/>
          <w:sz w:val="24"/>
          <w:szCs w:val="24"/>
        </w:rPr>
        <w:t>12 000 «Принятые денежные обязательства» (578 627,4 тыс. рублей), расхождение 82,7 тыс. рублей;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 71 Инструкции 191н, невозможно провести сверку принятых бюджетных обязательств и денежных обязательств ф.0503128 с Главной книгой, т.к. в Главн</w:t>
      </w:r>
      <w:r w:rsidRPr="00850A33">
        <w:rPr>
          <w:rFonts w:eastAsiaTheme="minorEastAsia"/>
          <w:sz w:val="24"/>
          <w:szCs w:val="24"/>
        </w:rPr>
        <w:t>ой книге отсутствуют счета 1 502 11 0000 и 1 502 12 0000;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п.73 Инструкции 191н показатели граф 4,5 ф.0503128 «Отчет о бюджетных обязательствах» не совпадают с показателями граф 4,5 ф.0503127          «Отчет об исполнении бюджета» (графы не за</w:t>
      </w:r>
      <w:r w:rsidRPr="00850A33">
        <w:rPr>
          <w:rFonts w:eastAsiaTheme="minorEastAsia"/>
          <w:sz w:val="24"/>
          <w:szCs w:val="24"/>
        </w:rPr>
        <w:t>полнены);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 153,158,159.6 Инструкции 191н,  в таблице 16 к Пояснительной записке ф.0503160, таблицы 1,6 и 13 заявлены как нулевые таблицы;       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п.159.9 Инструкции 191н не указаны дата и номер решения о проведении годовой инве</w:t>
      </w:r>
      <w:r w:rsidRPr="00850A33">
        <w:rPr>
          <w:rFonts w:eastAsiaTheme="minorEastAsia"/>
          <w:sz w:val="24"/>
          <w:szCs w:val="24"/>
        </w:rPr>
        <w:t>нтаризации;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п.163 Инструкции 191н, не </w:t>
      </w:r>
      <w:proofErr w:type="gramStart"/>
      <w:r w:rsidRPr="00850A33">
        <w:rPr>
          <w:rFonts w:eastAsiaTheme="minorEastAsia"/>
          <w:sz w:val="24"/>
          <w:szCs w:val="24"/>
        </w:rPr>
        <w:t>предоставлена</w:t>
      </w:r>
      <w:proofErr w:type="gramEnd"/>
      <w:r w:rsidRPr="00850A33">
        <w:rPr>
          <w:rFonts w:eastAsiaTheme="minorEastAsia"/>
          <w:sz w:val="24"/>
          <w:szCs w:val="24"/>
        </w:rPr>
        <w:t xml:space="preserve"> ф.0503164, в результате нет возможности провести сверку форм ф.0503164 “Сведения об исполнении бюджета” с ф.0503127 «Отчет об исполнении бюджета»;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</w:t>
      </w:r>
      <w:proofErr w:type="gramStart"/>
      <w:r w:rsidRPr="00850A33">
        <w:rPr>
          <w:rFonts w:eastAsiaTheme="minorEastAsia"/>
          <w:sz w:val="24"/>
          <w:szCs w:val="24"/>
        </w:rPr>
        <w:t>В нарушении п.166 Инструкции 191н,  устан</w:t>
      </w:r>
      <w:r w:rsidRPr="00850A33">
        <w:rPr>
          <w:rFonts w:eastAsiaTheme="minorEastAsia"/>
          <w:sz w:val="24"/>
          <w:szCs w:val="24"/>
        </w:rPr>
        <w:t>овлено несоответствие данных в гр. 4 формы 0503168 «Сведения о движении нефинансовых активов» раздела 2 «Нефинансовые активы, составляющие имущество казны» на 01.01.2025г отчетного финансового года с данными на  31.12.2024г (ф. 0503168); несоответствие дан</w:t>
      </w:r>
      <w:r w:rsidRPr="00850A33">
        <w:rPr>
          <w:rFonts w:eastAsiaTheme="minorEastAsia"/>
          <w:sz w:val="24"/>
          <w:szCs w:val="24"/>
        </w:rPr>
        <w:t xml:space="preserve">ных по счету 0 10852 0000  ф.0503168 с </w:t>
      </w:r>
      <w:r w:rsidRPr="00850A33">
        <w:rPr>
          <w:rFonts w:eastAsiaTheme="minorEastAsia"/>
          <w:sz w:val="24"/>
          <w:szCs w:val="24"/>
        </w:rPr>
        <w:t>Г</w:t>
      </w:r>
      <w:r w:rsidRPr="00850A33">
        <w:rPr>
          <w:rFonts w:eastAsiaTheme="minorEastAsia"/>
          <w:sz w:val="24"/>
          <w:szCs w:val="24"/>
        </w:rPr>
        <w:t>лавной книгой на 01.01.2025г.;</w:t>
      </w:r>
      <w:proofErr w:type="gramEnd"/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В нарушении п.166 раздела 2 Инструкции 191н не отражены данные в форме 0503168 по строке 510 по счету 0 10855 000 </w:t>
      </w:r>
      <w:r w:rsidRPr="00850A33">
        <w:rPr>
          <w:rFonts w:eastAsiaTheme="minorEastAsia"/>
          <w:sz w:val="24"/>
          <w:szCs w:val="24"/>
        </w:rPr>
        <w:t>«</w:t>
      </w:r>
      <w:r w:rsidRPr="00850A33">
        <w:rPr>
          <w:rFonts w:eastAsiaTheme="minorEastAsia"/>
          <w:sz w:val="24"/>
          <w:szCs w:val="24"/>
        </w:rPr>
        <w:t xml:space="preserve">Непроизведенные </w:t>
      </w:r>
      <w:r w:rsidRPr="00850A33">
        <w:rPr>
          <w:rFonts w:eastAsiaTheme="minorEastAsia"/>
          <w:sz w:val="24"/>
          <w:szCs w:val="24"/>
        </w:rPr>
        <w:t>активы в составе имущества казны</w:t>
      </w:r>
      <w:r w:rsidRPr="00850A33">
        <w:rPr>
          <w:rFonts w:eastAsiaTheme="minorEastAsia"/>
          <w:sz w:val="24"/>
          <w:szCs w:val="24"/>
        </w:rPr>
        <w:t>»</w:t>
      </w:r>
      <w:r w:rsidRPr="00850A33">
        <w:rPr>
          <w:rFonts w:eastAsiaTheme="minorEastAsia"/>
          <w:sz w:val="24"/>
          <w:szCs w:val="24"/>
        </w:rPr>
        <w:t xml:space="preserve"> в сумме 1608,8 тыс</w:t>
      </w:r>
      <w:r w:rsidRPr="00850A33">
        <w:rPr>
          <w:rFonts w:eastAsiaTheme="minorEastAsia"/>
          <w:sz w:val="24"/>
          <w:szCs w:val="24"/>
        </w:rPr>
        <w:t>. рублей;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 </w:t>
      </w:r>
      <w:r w:rsidRPr="00850A33">
        <w:rPr>
          <w:rFonts w:eastAsiaTheme="minorEastAsia"/>
          <w:sz w:val="24"/>
          <w:szCs w:val="24"/>
        </w:rPr>
        <w:t>В нарушении п.170.2 Инструкции 191н, при проверке  формы 0503175 «Сведения  о принятых и неисполненных обязательствах получателя бюджетных средств» в разделе 4 «Сведения об экономии при заключении государственных (муниципальных) контракт</w:t>
      </w:r>
      <w:r w:rsidRPr="00850A33">
        <w:rPr>
          <w:rFonts w:eastAsiaTheme="minorEastAsia"/>
          <w:sz w:val="24"/>
          <w:szCs w:val="24"/>
        </w:rPr>
        <w:t>ов</w:t>
      </w:r>
      <w:r w:rsidRPr="00850A33">
        <w:rPr>
          <w:rFonts w:eastAsiaTheme="minorEastAsia"/>
          <w:sz w:val="24"/>
          <w:szCs w:val="24"/>
        </w:rPr>
        <w:t xml:space="preserve"> с пр</w:t>
      </w:r>
      <w:r w:rsidRPr="00850A33">
        <w:rPr>
          <w:rFonts w:eastAsiaTheme="minorEastAsia"/>
          <w:sz w:val="24"/>
          <w:szCs w:val="24"/>
        </w:rPr>
        <w:t>именением конкурентных способов» в графе 4 не указаны  числовые значения полученной экономии в результате применения конкурентных способов закупок;</w:t>
      </w:r>
    </w:p>
    <w:p w:rsidR="00694BA8" w:rsidRPr="00850A33" w:rsidRDefault="008B3251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284" w:hanging="284"/>
        <w:rPr>
          <w:rFonts w:eastAsiaTheme="minorEastAsia"/>
          <w:sz w:val="24"/>
          <w:szCs w:val="24"/>
        </w:rPr>
      </w:pPr>
      <w:r w:rsidRPr="00850A33">
        <w:rPr>
          <w:rFonts w:eastAsiaTheme="minorEastAsia"/>
          <w:sz w:val="24"/>
          <w:szCs w:val="24"/>
        </w:rPr>
        <w:t xml:space="preserve"> </w:t>
      </w:r>
      <w:r w:rsidRPr="00850A33">
        <w:rPr>
          <w:rFonts w:eastAsiaTheme="minorEastAsia"/>
          <w:sz w:val="24"/>
          <w:szCs w:val="24"/>
        </w:rPr>
        <w:t xml:space="preserve"> В нарушении п. 174 Инструкции 191н, при отсутствии информации об исполнении судебных решений по денежным о</w:t>
      </w:r>
      <w:r w:rsidRPr="00850A33">
        <w:rPr>
          <w:rFonts w:eastAsiaTheme="minorEastAsia"/>
          <w:sz w:val="24"/>
          <w:szCs w:val="24"/>
        </w:rPr>
        <w:t>бязательствам бюджета предоставлена форма</w:t>
      </w:r>
      <w:r w:rsidRPr="00850A33">
        <w:rPr>
          <w:rFonts w:eastAsiaTheme="minorEastAsia"/>
          <w:sz w:val="24"/>
          <w:szCs w:val="24"/>
        </w:rPr>
        <w:t xml:space="preserve"> </w:t>
      </w:r>
      <w:r w:rsidRPr="00850A33">
        <w:rPr>
          <w:rFonts w:eastAsiaTheme="minorEastAsia"/>
          <w:sz w:val="24"/>
          <w:szCs w:val="24"/>
        </w:rPr>
        <w:t>отчетности</w:t>
      </w:r>
      <w:r w:rsidRPr="00850A33">
        <w:rPr>
          <w:rFonts w:eastAsiaTheme="minorEastAsia"/>
          <w:sz w:val="24"/>
          <w:szCs w:val="24"/>
        </w:rPr>
        <w:t>;</w:t>
      </w:r>
    </w:p>
    <w:p w:rsidR="00694BA8" w:rsidRPr="00850A33" w:rsidRDefault="00694BA8">
      <w:pPr>
        <w:pStyle w:val="a8"/>
        <w:tabs>
          <w:tab w:val="left" w:pos="142"/>
        </w:tabs>
        <w:spacing w:line="240" w:lineRule="auto"/>
        <w:ind w:left="284" w:firstLine="0"/>
        <w:rPr>
          <w:rFonts w:eastAsiaTheme="minorEastAsia"/>
          <w:sz w:val="24"/>
          <w:szCs w:val="24"/>
        </w:rPr>
      </w:pPr>
    </w:p>
    <w:p w:rsidR="00694BA8" w:rsidRPr="00850A33" w:rsidRDefault="00694B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4BA8" w:rsidRPr="00850A33" w:rsidRDefault="00694B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4BA8" w:rsidRPr="00850A33" w:rsidRDefault="008B32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A33">
        <w:rPr>
          <w:rFonts w:ascii="Times New Roman" w:hAnsi="Times New Roman" w:cs="Times New Roman"/>
          <w:sz w:val="24"/>
          <w:szCs w:val="24"/>
        </w:rPr>
        <w:t>Всем объектам проверок выданы представления об устранении выявленных нарушений и недостатков.</w:t>
      </w:r>
    </w:p>
    <w:p w:rsidR="00694BA8" w:rsidRPr="00850A33" w:rsidRDefault="00694BA8">
      <w:pPr>
        <w:tabs>
          <w:tab w:val="left" w:pos="720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sectPr w:rsidR="00694BA8" w:rsidRPr="00850A33">
      <w:pgSz w:w="11906" w:h="16838"/>
      <w:pgMar w:top="426" w:right="56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51" w:rsidRDefault="008B3251">
      <w:pPr>
        <w:spacing w:line="240" w:lineRule="auto"/>
      </w:pPr>
      <w:r>
        <w:separator/>
      </w:r>
    </w:p>
  </w:endnote>
  <w:endnote w:type="continuationSeparator" w:id="0">
    <w:p w:rsidR="008B3251" w:rsidRDefault="008B3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51" w:rsidRDefault="008B3251">
      <w:pPr>
        <w:spacing w:after="0"/>
      </w:pPr>
      <w:r>
        <w:separator/>
      </w:r>
    </w:p>
  </w:footnote>
  <w:footnote w:type="continuationSeparator" w:id="0">
    <w:p w:rsidR="008B3251" w:rsidRDefault="008B32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C90"/>
    <w:multiLevelType w:val="multilevel"/>
    <w:tmpl w:val="1A211C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7538"/>
    <w:multiLevelType w:val="multilevel"/>
    <w:tmpl w:val="25FC7538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258" w:hanging="360"/>
      </w:pPr>
    </w:lvl>
    <w:lvl w:ilvl="2">
      <w:start w:val="1"/>
      <w:numFmt w:val="lowerRoman"/>
      <w:lvlText w:val="%3."/>
      <w:lvlJc w:val="right"/>
      <w:pPr>
        <w:ind w:left="9978" w:hanging="180"/>
      </w:pPr>
    </w:lvl>
    <w:lvl w:ilvl="3">
      <w:start w:val="1"/>
      <w:numFmt w:val="decimal"/>
      <w:lvlText w:val="%4."/>
      <w:lvlJc w:val="left"/>
      <w:pPr>
        <w:ind w:left="10698" w:hanging="360"/>
      </w:pPr>
    </w:lvl>
    <w:lvl w:ilvl="4">
      <w:start w:val="1"/>
      <w:numFmt w:val="lowerLetter"/>
      <w:lvlText w:val="%5."/>
      <w:lvlJc w:val="left"/>
      <w:pPr>
        <w:ind w:left="11418" w:hanging="360"/>
      </w:pPr>
    </w:lvl>
    <w:lvl w:ilvl="5">
      <w:start w:val="1"/>
      <w:numFmt w:val="lowerRoman"/>
      <w:lvlText w:val="%6."/>
      <w:lvlJc w:val="right"/>
      <w:pPr>
        <w:ind w:left="12138" w:hanging="180"/>
      </w:pPr>
    </w:lvl>
    <w:lvl w:ilvl="6">
      <w:start w:val="1"/>
      <w:numFmt w:val="decimal"/>
      <w:lvlText w:val="%7."/>
      <w:lvlJc w:val="left"/>
      <w:pPr>
        <w:ind w:left="12858" w:hanging="360"/>
      </w:pPr>
    </w:lvl>
    <w:lvl w:ilvl="7">
      <w:start w:val="1"/>
      <w:numFmt w:val="lowerLetter"/>
      <w:lvlText w:val="%8."/>
      <w:lvlJc w:val="left"/>
      <w:pPr>
        <w:ind w:left="13578" w:hanging="360"/>
      </w:pPr>
    </w:lvl>
    <w:lvl w:ilvl="8">
      <w:start w:val="1"/>
      <w:numFmt w:val="lowerRoman"/>
      <w:lvlText w:val="%9."/>
      <w:lvlJc w:val="right"/>
      <w:pPr>
        <w:ind w:left="14298" w:hanging="180"/>
      </w:pPr>
    </w:lvl>
  </w:abstractNum>
  <w:abstractNum w:abstractNumId="2">
    <w:nsid w:val="2E511C23"/>
    <w:multiLevelType w:val="multilevel"/>
    <w:tmpl w:val="2E511C23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687530B7"/>
    <w:multiLevelType w:val="multilevel"/>
    <w:tmpl w:val="687530B7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34"/>
    <w:rsid w:val="00000A87"/>
    <w:rsid w:val="0002020C"/>
    <w:rsid w:val="000330E0"/>
    <w:rsid w:val="00033DD0"/>
    <w:rsid w:val="00037B36"/>
    <w:rsid w:val="000634BA"/>
    <w:rsid w:val="00085D9D"/>
    <w:rsid w:val="00097CBD"/>
    <w:rsid w:val="000E5178"/>
    <w:rsid w:val="000F4C38"/>
    <w:rsid w:val="00105D34"/>
    <w:rsid w:val="001208D2"/>
    <w:rsid w:val="001636CB"/>
    <w:rsid w:val="0017099E"/>
    <w:rsid w:val="00184534"/>
    <w:rsid w:val="001B4967"/>
    <w:rsid w:val="001C4B34"/>
    <w:rsid w:val="001D361C"/>
    <w:rsid w:val="001D5A49"/>
    <w:rsid w:val="00236956"/>
    <w:rsid w:val="00265DF4"/>
    <w:rsid w:val="00287B09"/>
    <w:rsid w:val="00291027"/>
    <w:rsid w:val="002A428D"/>
    <w:rsid w:val="002A6E56"/>
    <w:rsid w:val="002B1155"/>
    <w:rsid w:val="002B61C0"/>
    <w:rsid w:val="002C1F8D"/>
    <w:rsid w:val="002C507E"/>
    <w:rsid w:val="002F04E5"/>
    <w:rsid w:val="00306E2F"/>
    <w:rsid w:val="00316260"/>
    <w:rsid w:val="003333EF"/>
    <w:rsid w:val="00334A2B"/>
    <w:rsid w:val="0034612D"/>
    <w:rsid w:val="00361186"/>
    <w:rsid w:val="00381573"/>
    <w:rsid w:val="0038232C"/>
    <w:rsid w:val="003A47FF"/>
    <w:rsid w:val="003D5991"/>
    <w:rsid w:val="003F7092"/>
    <w:rsid w:val="004048A5"/>
    <w:rsid w:val="00404E70"/>
    <w:rsid w:val="00456DA3"/>
    <w:rsid w:val="00465B53"/>
    <w:rsid w:val="004B67E9"/>
    <w:rsid w:val="004D1EBD"/>
    <w:rsid w:val="004D21D4"/>
    <w:rsid w:val="004D5723"/>
    <w:rsid w:val="00524503"/>
    <w:rsid w:val="005502CE"/>
    <w:rsid w:val="0059266C"/>
    <w:rsid w:val="005942D7"/>
    <w:rsid w:val="005C7E9A"/>
    <w:rsid w:val="005F35AF"/>
    <w:rsid w:val="005F6744"/>
    <w:rsid w:val="00626716"/>
    <w:rsid w:val="006355F3"/>
    <w:rsid w:val="00663BD2"/>
    <w:rsid w:val="0067552F"/>
    <w:rsid w:val="00694BA8"/>
    <w:rsid w:val="006A181E"/>
    <w:rsid w:val="006A7BEE"/>
    <w:rsid w:val="006C77B2"/>
    <w:rsid w:val="006D01DD"/>
    <w:rsid w:val="00705231"/>
    <w:rsid w:val="00753047"/>
    <w:rsid w:val="00754FF9"/>
    <w:rsid w:val="00767500"/>
    <w:rsid w:val="007B52A0"/>
    <w:rsid w:val="00844408"/>
    <w:rsid w:val="00850A33"/>
    <w:rsid w:val="00890A53"/>
    <w:rsid w:val="008977EF"/>
    <w:rsid w:val="008B3251"/>
    <w:rsid w:val="008B4AAD"/>
    <w:rsid w:val="008D0995"/>
    <w:rsid w:val="008E1667"/>
    <w:rsid w:val="008E77E9"/>
    <w:rsid w:val="00905FA6"/>
    <w:rsid w:val="0092143B"/>
    <w:rsid w:val="009A00D8"/>
    <w:rsid w:val="009B6FC9"/>
    <w:rsid w:val="009C37BD"/>
    <w:rsid w:val="009D244B"/>
    <w:rsid w:val="009F07E3"/>
    <w:rsid w:val="00A3430A"/>
    <w:rsid w:val="00A47D32"/>
    <w:rsid w:val="00AB175E"/>
    <w:rsid w:val="00AB40E6"/>
    <w:rsid w:val="00AE7905"/>
    <w:rsid w:val="00AF2588"/>
    <w:rsid w:val="00B12790"/>
    <w:rsid w:val="00B44A51"/>
    <w:rsid w:val="00B51886"/>
    <w:rsid w:val="00B657B3"/>
    <w:rsid w:val="00B823D1"/>
    <w:rsid w:val="00BB5200"/>
    <w:rsid w:val="00BE16C4"/>
    <w:rsid w:val="00BE2321"/>
    <w:rsid w:val="00BE2864"/>
    <w:rsid w:val="00C01240"/>
    <w:rsid w:val="00C22E3A"/>
    <w:rsid w:val="00C40756"/>
    <w:rsid w:val="00C506CD"/>
    <w:rsid w:val="00C61890"/>
    <w:rsid w:val="00C64458"/>
    <w:rsid w:val="00C7789F"/>
    <w:rsid w:val="00CA2046"/>
    <w:rsid w:val="00CA210F"/>
    <w:rsid w:val="00CA77B2"/>
    <w:rsid w:val="00CD477A"/>
    <w:rsid w:val="00CE4CB0"/>
    <w:rsid w:val="00D1703A"/>
    <w:rsid w:val="00D93AC9"/>
    <w:rsid w:val="00DB3116"/>
    <w:rsid w:val="00DC1236"/>
    <w:rsid w:val="00DD0972"/>
    <w:rsid w:val="00DF2743"/>
    <w:rsid w:val="00E247C9"/>
    <w:rsid w:val="00E27584"/>
    <w:rsid w:val="00E55B63"/>
    <w:rsid w:val="00E95FA9"/>
    <w:rsid w:val="00E9679E"/>
    <w:rsid w:val="00ED0458"/>
    <w:rsid w:val="00EF744A"/>
    <w:rsid w:val="00F01715"/>
    <w:rsid w:val="00F42CEA"/>
    <w:rsid w:val="00F459AC"/>
    <w:rsid w:val="00F542C6"/>
    <w:rsid w:val="00F54B4B"/>
    <w:rsid w:val="00F72E0E"/>
    <w:rsid w:val="00F87857"/>
    <w:rsid w:val="00FA6DFC"/>
    <w:rsid w:val="00FB35FE"/>
    <w:rsid w:val="00FE2AA7"/>
    <w:rsid w:val="00FE60B2"/>
    <w:rsid w:val="46981710"/>
    <w:rsid w:val="5138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585pt">
    <w:name w:val="Основной текст (5) + 8;5 pt;Не курсив"/>
    <w:basedOn w:val="5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585pt">
    <w:name w:val="Основной текст (5) + 8;5 pt;Не курсив"/>
    <w:basedOn w:val="5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80DF-35C9-4CA3-A8A2-2BB743BB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2026-07-13T09:44:00Z</cp:lastPrinted>
  <dcterms:created xsi:type="dcterms:W3CDTF">2026-07-14T08:05:00Z</dcterms:created>
  <dcterms:modified xsi:type="dcterms:W3CDTF">2026-07-14T08:05:00Z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9767D4630BFA4437A639A003C4DCE107_13</vt:lpwstr>
  </property>
</Properties>
</file>