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CE81F">
      <w:pPr>
        <w:pStyle w:val="11"/>
        <w:spacing w:after="460"/>
        <w:ind w:firstLine="0"/>
        <w:jc w:val="center"/>
        <w:rPr>
          <w:b/>
          <w:bCs/>
        </w:rPr>
      </w:pPr>
    </w:p>
    <w:p w14:paraId="49AFF904">
      <w:pPr>
        <w:keepNext/>
        <w:widowControl/>
        <w:tabs>
          <w:tab w:val="left" w:pos="8280"/>
        </w:tabs>
        <w:jc w:val="center"/>
        <w:outlineLvl w:val="0"/>
        <w:rPr>
          <w:rFonts w:ascii="Times New Roman" w:hAnsi="Times New Roman" w:eastAsia="Times New Roman" w:cs="Times New Roman"/>
          <w:b/>
          <w:color w:val="auto"/>
          <w:sz w:val="32"/>
          <w:szCs w:val="32"/>
          <w:lang w:bidi="ar-SA"/>
        </w:rPr>
      </w:pPr>
      <w:r>
        <w:rPr>
          <w:rFonts w:ascii="Times New Roman" w:hAnsi="Times New Roman" w:eastAsia="Times New Roman" w:cs="Times New Roman"/>
          <w:b/>
          <w:color w:val="auto"/>
          <w:sz w:val="32"/>
          <w:szCs w:val="20"/>
          <w:lang w:bidi="ar-SA"/>
        </w:rPr>
        <w:t xml:space="preserve">Администрация  Нязепетровского </w:t>
      </w:r>
      <w:r>
        <w:rPr>
          <w:rFonts w:ascii="Times New Roman" w:hAnsi="Times New Roman" w:eastAsia="Times New Roman" w:cs="Times New Roman"/>
          <w:b/>
          <w:color w:val="auto"/>
          <w:sz w:val="32"/>
          <w:szCs w:val="32"/>
          <w:lang w:bidi="ar-SA"/>
        </w:rPr>
        <w:t>муниципального округа</w:t>
      </w:r>
    </w:p>
    <w:p w14:paraId="024814FA">
      <w:pPr>
        <w:widowControl/>
        <w:rPr>
          <w:rFonts w:ascii="Times New Roman" w:hAnsi="Times New Roman" w:eastAsia="Times New Roman" w:cs="Times New Roman"/>
          <w:color w:val="auto"/>
          <w:lang w:bidi="ar-SA"/>
        </w:rPr>
      </w:pPr>
    </w:p>
    <w:p w14:paraId="693CE3A2">
      <w:pPr>
        <w:keepNext/>
        <w:widowControl/>
        <w:tabs>
          <w:tab w:val="left" w:pos="8280"/>
        </w:tabs>
        <w:jc w:val="center"/>
        <w:outlineLvl w:val="0"/>
        <w:rPr>
          <w:rFonts w:ascii="Times New Roman" w:hAnsi="Times New Roman" w:eastAsia="Times New Roman" w:cs="Times New Roman"/>
          <w:b/>
          <w:color w:val="auto"/>
          <w:sz w:val="32"/>
          <w:szCs w:val="20"/>
          <w:lang w:bidi="ar-SA"/>
        </w:rPr>
      </w:pPr>
      <w:r>
        <w:rPr>
          <w:rFonts w:ascii="Times New Roman" w:hAnsi="Times New Roman" w:eastAsia="Times New Roman" w:cs="Times New Roman"/>
          <w:b/>
          <w:color w:val="auto"/>
          <w:sz w:val="32"/>
          <w:szCs w:val="32"/>
          <w:lang w:bidi="ar-SA"/>
        </w:rPr>
        <w:t>Челябинской области</w:t>
      </w:r>
    </w:p>
    <w:p w14:paraId="34C279D2">
      <w:pPr>
        <w:widowControl/>
        <w:tabs>
          <w:tab w:val="left" w:pos="8280"/>
        </w:tabs>
        <w:jc w:val="center"/>
        <w:rPr>
          <w:rFonts w:ascii="Times New Roman" w:hAnsi="Times New Roman" w:eastAsia="Times New Roman" w:cs="Times New Roman"/>
          <w:b/>
          <w:color w:val="auto"/>
          <w:sz w:val="32"/>
          <w:lang w:bidi="ar-SA"/>
        </w:rPr>
      </w:pPr>
    </w:p>
    <w:p w14:paraId="033FE750">
      <w:pPr>
        <w:widowControl/>
        <w:tabs>
          <w:tab w:val="left" w:pos="8280"/>
        </w:tabs>
        <w:jc w:val="center"/>
        <w:rPr>
          <w:rFonts w:ascii="Times New Roman" w:hAnsi="Times New Roman" w:eastAsia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lang w:bidi="ar-SA"/>
        </w:rPr>
        <w:t>П О С Т А Н О В Л Е Н И Е</w:t>
      </w:r>
    </w:p>
    <w:p w14:paraId="1F55688A">
      <w:pPr>
        <w:widowControl/>
        <w:tabs>
          <w:tab w:val="left" w:pos="8280"/>
        </w:tabs>
        <w:jc w:val="center"/>
        <w:rPr>
          <w:rFonts w:ascii="Times New Roman" w:hAnsi="Times New Roman" w:eastAsia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lang w:bidi="ar-SA"/>
        </w:rPr>
        <w:drawing>
          <wp:inline distT="0" distB="0" distL="0" distR="0">
            <wp:extent cx="5992495" cy="55880"/>
            <wp:effectExtent l="19050" t="0" r="7883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30841" cy="76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6D27FC">
      <w:pPr>
        <w:keepNext/>
        <w:widowControl/>
        <w:tabs>
          <w:tab w:val="left" w:pos="8280"/>
        </w:tabs>
        <w:jc w:val="both"/>
        <w:outlineLvl w:val="1"/>
        <w:rPr>
          <w:rFonts w:ascii="Times New Roman" w:hAnsi="Times New Roman" w:eastAsia="Times New Roman" w:cs="Times New Roman"/>
          <w:b/>
          <w:color w:val="auto"/>
          <w:sz w:val="22"/>
          <w:szCs w:val="22"/>
          <w:u w:val="single"/>
          <w:lang w:bidi="ar-SA"/>
        </w:rPr>
      </w:pPr>
      <w:r>
        <w:rPr>
          <w:rFonts w:ascii="Times New Roman" w:hAnsi="Times New Roman" w:eastAsia="Times New Roman" w:cs="Times New Roman"/>
          <w:b/>
          <w:color w:val="auto"/>
          <w:sz w:val="22"/>
          <w:szCs w:val="22"/>
          <w:lang w:bidi="ar-SA"/>
        </w:rPr>
        <w:t>от 28.10.2026г.  № 1508</w:t>
      </w:r>
    </w:p>
    <w:p w14:paraId="2A8EA436">
      <w:pPr>
        <w:widowControl/>
        <w:rPr>
          <w:rFonts w:ascii="Times New Roman" w:hAnsi="Times New Roman" w:eastAsia="Times New Roman" w:cs="Times New Roman"/>
          <w:b/>
          <w:color w:val="auto"/>
          <w:sz w:val="22"/>
          <w:szCs w:val="22"/>
          <w:lang w:bidi="ar-SA"/>
        </w:rPr>
      </w:pPr>
      <w:r>
        <w:rPr>
          <w:rFonts w:ascii="Times New Roman" w:hAnsi="Times New Roman" w:eastAsia="Times New Roman" w:cs="Times New Roman"/>
          <w:b/>
          <w:color w:val="auto"/>
          <w:sz w:val="22"/>
          <w:szCs w:val="22"/>
          <w:lang w:bidi="ar-SA"/>
        </w:rPr>
        <w:t>г. Нязепетровск</w:t>
      </w:r>
    </w:p>
    <w:p w14:paraId="3EDC6E99">
      <w:pPr>
        <w:widowControl/>
        <w:rPr>
          <w:rFonts w:ascii="Times New Roman" w:hAnsi="Times New Roman" w:eastAsia="Times New Roman" w:cs="Times New Roman"/>
          <w:b/>
          <w:color w:val="auto"/>
          <w:sz w:val="22"/>
          <w:szCs w:val="22"/>
          <w:lang w:bidi="ar-SA"/>
        </w:rPr>
      </w:pPr>
    </w:p>
    <w:p w14:paraId="0538CA7B">
      <w:pPr>
        <w:widowControl/>
        <w:rPr>
          <w:rFonts w:ascii="Times New Roman" w:hAnsi="Times New Roman" w:eastAsia="Times New Roman" w:cs="Times New Roman"/>
          <w:b/>
          <w:color w:val="auto"/>
          <w:sz w:val="22"/>
          <w:szCs w:val="22"/>
          <w:lang w:bidi="ar-SA"/>
        </w:rPr>
      </w:pPr>
    </w:p>
    <w:tbl>
      <w:tblPr>
        <w:tblStyle w:val="21"/>
        <w:tblW w:w="958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4"/>
        <w:gridCol w:w="4245"/>
      </w:tblGrid>
      <w:tr w14:paraId="1CAF2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5" w:hRule="atLeast"/>
        </w:trPr>
        <w:tc>
          <w:tcPr>
            <w:tcW w:w="5344" w:type="dxa"/>
          </w:tcPr>
          <w:p w14:paraId="203D3C06">
            <w:pPr>
              <w:pStyle w:val="11"/>
              <w:widowControl/>
              <w:spacing w:after="320"/>
              <w:ind w:firstLine="0"/>
              <w:jc w:val="both"/>
              <w:rPr>
                <w:color w:val="auto"/>
                <w:sz w:val="24"/>
                <w:szCs w:val="24"/>
                <w:lang w:eastAsia="en-US" w:bidi="ar-SA"/>
              </w:rPr>
            </w:pPr>
            <w:r>
              <w:rPr>
                <w:sz w:val="24"/>
                <w:szCs w:val="24"/>
                <w:lang w:eastAsia="en-US" w:bidi="ar-SA"/>
              </w:rPr>
              <w:t>Об утверждении Порядков и условий предоставления меры поддержки членам семей лиц, принимающих (принимавших) участие в специальной военной операции, по зачислению (в том числе при переводе из одной муниципальной организации, осуществляющей образовательную деятельность, в другую) в первоочередном порядке детей в наиболее приближенные к месту жительства семьи муниципальные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дня, расположенных на территории Нязепетровского муниципального округа</w:t>
            </w:r>
          </w:p>
        </w:tc>
        <w:tc>
          <w:tcPr>
            <w:tcW w:w="4245" w:type="dxa"/>
          </w:tcPr>
          <w:p w14:paraId="17A1D28F">
            <w:pPr>
              <w:widowControl/>
              <w:tabs>
                <w:tab w:val="left" w:pos="4680"/>
              </w:tabs>
              <w:jc w:val="both"/>
              <w:rPr>
                <w:rFonts w:ascii="Times New Roman" w:hAnsi="Times New Roman" w:eastAsia="Times New Roman" w:cs="Times New Roman"/>
                <w:color w:val="auto"/>
                <w:sz w:val="23"/>
                <w:szCs w:val="23"/>
                <w:lang w:eastAsia="en-US" w:bidi="ar-SA"/>
              </w:rPr>
            </w:pPr>
          </w:p>
        </w:tc>
      </w:tr>
    </w:tbl>
    <w:p w14:paraId="38AEC00E">
      <w:pPr>
        <w:pStyle w:val="11"/>
        <w:ind w:firstLine="720"/>
        <w:jc w:val="both"/>
        <w:rPr>
          <w:sz w:val="24"/>
          <w:szCs w:val="24"/>
        </w:rPr>
      </w:pPr>
    </w:p>
    <w:p w14:paraId="688B4B58">
      <w:pPr>
        <w:pStyle w:val="11"/>
        <w:ind w:firstLine="0"/>
        <w:jc w:val="both"/>
        <w:rPr>
          <w:sz w:val="24"/>
          <w:szCs w:val="24"/>
        </w:rPr>
      </w:pPr>
    </w:p>
    <w:p w14:paraId="3839F31A">
      <w:pPr>
        <w:pStyle w:val="2"/>
        <w:spacing w:before="0" w:after="0"/>
        <w:ind w:firstLine="708"/>
        <w:jc w:val="both"/>
        <w:rPr>
          <w:b w:val="0"/>
        </w:rPr>
      </w:pPr>
      <w:r>
        <w:rPr>
          <w:b w:val="0"/>
        </w:rPr>
        <w:t xml:space="preserve">В соответствии с Указом Президента Российской Федерации от 15.05.2026  г.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</w:t>
      </w:r>
      <w:r>
        <w:fldChar w:fldCharType="begin"/>
      </w:r>
      <w:r>
        <w:instrText xml:space="preserve"> HYPERLINK "https://internet.garant.ru/document/redirect/414749881/0" </w:instrText>
      </w:r>
      <w:r>
        <w:fldChar w:fldCharType="separate"/>
      </w:r>
      <w:r>
        <w:rPr>
          <w:rStyle w:val="23"/>
          <w:rFonts w:eastAsia="Arial" w:cs="Times New Roman CYR"/>
          <w:b w:val="0"/>
          <w:color w:val="000000" w:themeColor="text1"/>
        </w:rPr>
        <w:t>Постановлени</w:t>
      </w:r>
      <w:r>
        <w:rPr>
          <w:rStyle w:val="23"/>
          <w:rFonts w:eastAsia="Arial" w:cs="Times New Roman CYR"/>
          <w:b w:val="0"/>
          <w:color w:val="000000" w:themeColor="text1"/>
        </w:rPr>
        <w:fldChar w:fldCharType="end"/>
      </w:r>
      <w:r>
        <w:rPr>
          <w:b w:val="0"/>
          <w:color w:val="000000" w:themeColor="text1"/>
        </w:rPr>
        <w:t>ем</w:t>
      </w:r>
      <w:r>
        <w:rPr>
          <w:b w:val="0"/>
        </w:rPr>
        <w:t xml:space="preserve"> Губернатора Челябинской области от 12.08.2026 г. № 265 «О мерах поддержки лиц, принимающих (принимавших) участие в специальной военной операции, и других категорий лиц в Челябинской области»,  </w:t>
      </w:r>
      <w:r>
        <w:fldChar w:fldCharType="begin"/>
      </w:r>
      <w:r>
        <w:instrText xml:space="preserve"> HYPERLINK "https://internet.garant.ru/document/redirect/414852992/0" </w:instrText>
      </w:r>
      <w:r>
        <w:fldChar w:fldCharType="separate"/>
      </w:r>
      <w:r>
        <w:rPr>
          <w:rStyle w:val="23"/>
          <w:rFonts w:cs="Times New Roman CYR"/>
          <w:b w:val="0"/>
          <w:bCs w:val="0"/>
          <w:color w:val="000000" w:themeColor="text1"/>
        </w:rPr>
        <w:t>Приказом Министерства образования и науки Челябинской области от 31.08.2026 г. № 01/2019 «Об утверждении порядка и условий предоставления меры поддержки членам семей лиц, принимающих (принимавших) участие в специальной военной операции, по зачислению (в том числе при переводе из одной государственной (муниципальной) организации, осуществляющей образовательную деятельность, в другую) в первоочередном порядке детей в наиболее приближенные к месту жительства семьи государственные (муниципальные) образовательные организации, осуществляющие образовательную деятельность по образовательным программам</w:t>
      </w:r>
      <w:r>
        <w:rPr>
          <w:b w:val="0"/>
        </w:rPr>
        <w:t xml:space="preserve"> дошкольного, начального общего, основного общего и среднего общего образования, в том числе в группы продленного дня, расположенных на территории Челябинской области</w:t>
      </w:r>
      <w:r>
        <w:rPr>
          <w:rStyle w:val="23"/>
          <w:rFonts w:cs="Times New Roman CYR"/>
          <w:b w:val="0"/>
          <w:bCs w:val="0"/>
          <w:color w:val="000000" w:themeColor="text1"/>
        </w:rPr>
        <w:t>»</w:t>
      </w:r>
      <w:r>
        <w:rPr>
          <w:rStyle w:val="23"/>
          <w:rFonts w:cs="Times New Roman CYR"/>
          <w:b w:val="0"/>
          <w:bCs w:val="0"/>
          <w:color w:val="000000" w:themeColor="text1"/>
        </w:rPr>
        <w:fldChar w:fldCharType="end"/>
      </w:r>
      <w:r>
        <w:rPr>
          <w:b w:val="0"/>
        </w:rPr>
        <w:t xml:space="preserve"> администрация Нязепетровского муниципального округа</w:t>
      </w:r>
    </w:p>
    <w:p w14:paraId="098B54C2">
      <w:pPr>
        <w:pStyle w:val="11"/>
        <w:ind w:firstLine="0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14:paraId="4B27CAF9">
      <w:pPr>
        <w:pStyle w:val="22"/>
        <w:jc w:val="both"/>
        <w:rPr>
          <w:rFonts w:ascii="Times New Roman" w:hAnsi="Times New Roman" w:cs="Times New Roman"/>
        </w:rPr>
      </w:pPr>
      <w:bookmarkStart w:id="0" w:name="sub_3001"/>
      <w:r>
        <w:rPr>
          <w:rFonts w:ascii="Times New Roman" w:hAnsi="Times New Roman" w:cs="Times New Roman"/>
        </w:rPr>
        <w:t>1. Утвердить прилагаемые:</w:t>
      </w:r>
    </w:p>
    <w:bookmarkEnd w:id="0"/>
    <w:p w14:paraId="26FF2921">
      <w:pPr>
        <w:ind w:firstLine="708"/>
        <w:jc w:val="both"/>
        <w:rPr>
          <w:rFonts w:ascii="Times New Roman" w:hAnsi="Times New Roman" w:cs="Times New Roman"/>
        </w:rPr>
      </w:pPr>
      <w:bookmarkStart w:id="1" w:name="sub_3002"/>
      <w:r>
        <w:rPr>
          <w:rFonts w:ascii="Times New Roman" w:hAnsi="Times New Roman" w:cs="Times New Roman"/>
        </w:rPr>
        <w:t xml:space="preserve">1) </w:t>
      </w:r>
      <w:r>
        <w:fldChar w:fldCharType="begin"/>
      </w:r>
      <w:r>
        <w:instrText xml:space="preserve"> HYPERLINK \l "sub_1000" </w:instrText>
      </w:r>
      <w:r>
        <w:fldChar w:fldCharType="separate"/>
      </w:r>
      <w:r>
        <w:rPr>
          <w:rStyle w:val="23"/>
          <w:rFonts w:ascii="Times New Roman" w:hAnsi="Times New Roman"/>
          <w:color w:val="000000" w:themeColor="text1"/>
        </w:rPr>
        <w:t>порядок и условия</w:t>
      </w:r>
      <w:r>
        <w:rPr>
          <w:rStyle w:val="23"/>
          <w:rFonts w:ascii="Times New Roman" w:hAnsi="Times New Roman"/>
          <w:color w:val="000000" w:themeColor="text1"/>
        </w:rPr>
        <w:fldChar w:fldCharType="end"/>
      </w:r>
      <w:r>
        <w:rPr>
          <w:rFonts w:ascii="Times New Roman" w:hAnsi="Times New Roman" w:cs="Times New Roman"/>
        </w:rPr>
        <w:t xml:space="preserve"> предоставления лицам, принимающих (принимавших) участие в специальной военной операции, и других категорий лиц меры поддержки по зачислению (в том числе при переводе из одной муниципальной организации, осуществляющей образовательную деятельность, в другую) в первоочередном порядке детей в наиболее приближенные к месту жительства семьи муниципальные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дня, расположенных на территории Нязепетровского муниципального округа;</w:t>
      </w:r>
    </w:p>
    <w:bookmarkEnd w:id="1"/>
    <w:p w14:paraId="756BF8FD">
      <w:pPr>
        <w:ind w:firstLine="708"/>
        <w:jc w:val="both"/>
        <w:rPr>
          <w:rFonts w:ascii="Times New Roman" w:hAnsi="Times New Roman" w:cs="Times New Roman"/>
        </w:rPr>
      </w:pPr>
      <w:bookmarkStart w:id="2" w:name="sub_3003"/>
      <w:r>
        <w:rPr>
          <w:rFonts w:ascii="Times New Roman" w:hAnsi="Times New Roman" w:cs="Times New Roman"/>
        </w:rPr>
        <w:t xml:space="preserve">2) </w:t>
      </w:r>
      <w:r>
        <w:fldChar w:fldCharType="begin"/>
      </w:r>
      <w:r>
        <w:instrText xml:space="preserve"> HYPERLINK \l "sub_2000" </w:instrText>
      </w:r>
      <w:r>
        <w:fldChar w:fldCharType="separate"/>
      </w:r>
      <w:r>
        <w:rPr>
          <w:rStyle w:val="23"/>
          <w:rFonts w:ascii="Times New Roman" w:hAnsi="Times New Roman"/>
          <w:color w:val="000000" w:themeColor="text1"/>
        </w:rPr>
        <w:t>порядок</w:t>
      </w:r>
      <w:r>
        <w:rPr>
          <w:rStyle w:val="23"/>
          <w:rFonts w:ascii="Times New Roman" w:hAnsi="Times New Roman"/>
          <w:color w:val="000000" w:themeColor="text1"/>
        </w:rPr>
        <w:fldChar w:fldCharType="end"/>
      </w:r>
      <w:r>
        <w:rPr>
          <w:rFonts w:ascii="Times New Roman" w:hAnsi="Times New Roman" w:cs="Times New Roman"/>
        </w:rPr>
        <w:t xml:space="preserve"> информирования лиц, принимающих (принимавших) участие в специальной военной операции, и других категорий лиц о предоставлении меры поддержки по зачислению (в том числе при переводе из одной муниципальной организации, осуществляющей образовательную деятельность, в другую) в первоочередном порядке детей в наиболее приближенные к месту жительства семьи муниципальные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дня, расположенных на территории Нязепетровского муниципального округа;</w:t>
      </w:r>
    </w:p>
    <w:bookmarkEnd w:id="2"/>
    <w:p w14:paraId="48568751">
      <w:pPr>
        <w:ind w:firstLine="708"/>
        <w:jc w:val="both"/>
        <w:rPr>
          <w:rFonts w:ascii="Times New Roman" w:hAnsi="Times New Roman" w:cs="Times New Roman"/>
        </w:rPr>
      </w:pPr>
      <w:bookmarkStart w:id="3" w:name="sub_3004"/>
      <w:r>
        <w:rPr>
          <w:rFonts w:ascii="Times New Roman" w:hAnsi="Times New Roman" w:cs="Times New Roman"/>
        </w:rPr>
        <w:t xml:space="preserve">3) </w:t>
      </w:r>
      <w:r>
        <w:fldChar w:fldCharType="begin"/>
      </w:r>
      <w:r>
        <w:instrText xml:space="preserve"> HYPERLINK \l "sub_3000" </w:instrText>
      </w:r>
      <w:r>
        <w:fldChar w:fldCharType="separate"/>
      </w:r>
      <w:r>
        <w:rPr>
          <w:rStyle w:val="23"/>
          <w:rFonts w:ascii="Times New Roman" w:hAnsi="Times New Roman"/>
          <w:color w:val="000000" w:themeColor="text1"/>
        </w:rPr>
        <w:t>порядок</w:t>
      </w:r>
      <w:r>
        <w:rPr>
          <w:rStyle w:val="23"/>
          <w:rFonts w:ascii="Times New Roman" w:hAnsi="Times New Roman"/>
          <w:color w:val="000000" w:themeColor="text1"/>
        </w:rPr>
        <w:fldChar w:fldCharType="end"/>
      </w:r>
      <w:r>
        <w:rPr>
          <w:rFonts w:ascii="Times New Roman" w:hAnsi="Times New Roman" w:cs="Times New Roman"/>
        </w:rPr>
        <w:t xml:space="preserve"> учета меры поддержки лицам, принимающих (принимавших) участие в специальной военной операции, и других категорий лиц по зачислению (в том числе при переводе из одной муниципальной организации, осуществляющей образовательную деятельность, в другую) в первоочередном порядке детей в наиболее приближенные к месту жительства семьи муниципальные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дня, расположенных на территории Нязепетровского муниципального округа.</w:t>
      </w:r>
    </w:p>
    <w:p w14:paraId="7D838A97">
      <w:pPr>
        <w:pStyle w:val="2"/>
        <w:spacing w:before="0" w:after="0"/>
        <w:ind w:firstLine="708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2. Управлению образования администрации Нязепетровского муниципального округа (Начальник отдела дошкольного образования, начальник отдела общего образования) ежемесячно с использованием государственных информационных систем обеспечить предоставление отчетной документации о мерах поддержки лицам, названным в подпунктах "б" и "е" пункта 2 Указа Президента Российской Федерации</w:t>
      </w:r>
      <w:r>
        <w:rPr>
          <w:b w:val="0"/>
        </w:rPr>
        <w:t xml:space="preserve"> от 15.05.2026  г.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(приложение к Порядку)</w:t>
      </w:r>
      <w:r>
        <w:rPr>
          <w:rFonts w:ascii="Times New Roman" w:hAnsi="Times New Roman" w:cs="Times New Roman"/>
          <w:b w:val="0"/>
        </w:rPr>
        <w:t>.</w:t>
      </w:r>
    </w:p>
    <w:bookmarkEnd w:id="3"/>
    <w:p w14:paraId="2E042A2B">
      <w:pPr>
        <w:widowControl/>
        <w:tabs>
          <w:tab w:val="left" w:pos="1080"/>
          <w:tab w:val="left" w:pos="1260"/>
        </w:tabs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Настоящее постановление подлежит опубликованию на официальном «сайте Нязепетровского муниципального округа Челябинской области» (доменное имя - nzpr.ru, регистрация в официальном  сетевом издании, в качестве средства массовой информации: ЭЛ № ФС 77-81111 от 17.05.2021).</w:t>
      </w:r>
    </w:p>
    <w:p w14:paraId="39F66C51">
      <w:pPr>
        <w:pStyle w:val="11"/>
        <w:tabs>
          <w:tab w:val="left" w:pos="1045"/>
        </w:tabs>
        <w:ind w:firstLine="709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4. Контроль за выполнением настоящего постановления возложить на заместителя главы муниципального округа по социальным вопросам – начальника Управления образования Акишеву М.А.</w:t>
      </w:r>
    </w:p>
    <w:p w14:paraId="68ED955A">
      <w:pPr>
        <w:pStyle w:val="11"/>
        <w:tabs>
          <w:tab w:val="left" w:pos="1045"/>
        </w:tabs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 Настоящее постановление вступает в силу после дня его официального опубликования.</w:t>
      </w:r>
    </w:p>
    <w:p w14:paraId="7392A6F4">
      <w:pPr>
        <w:pStyle w:val="11"/>
        <w:tabs>
          <w:tab w:val="left" w:pos="1040"/>
        </w:tabs>
        <w:ind w:left="720" w:hanging="720"/>
        <w:jc w:val="both"/>
        <w:rPr>
          <w:sz w:val="24"/>
          <w:szCs w:val="24"/>
        </w:rPr>
      </w:pPr>
    </w:p>
    <w:p w14:paraId="5FC99EA8">
      <w:pPr>
        <w:pStyle w:val="11"/>
        <w:tabs>
          <w:tab w:val="left" w:pos="1040"/>
        </w:tabs>
        <w:ind w:left="720" w:hanging="720"/>
        <w:jc w:val="both"/>
        <w:rPr>
          <w:sz w:val="24"/>
          <w:szCs w:val="24"/>
        </w:rPr>
      </w:pPr>
    </w:p>
    <w:p w14:paraId="45A7FE35">
      <w:pPr>
        <w:pStyle w:val="11"/>
        <w:tabs>
          <w:tab w:val="left" w:pos="1040"/>
        </w:tabs>
        <w:ind w:left="720" w:hanging="720"/>
        <w:jc w:val="both"/>
        <w:rPr>
          <w:sz w:val="24"/>
          <w:szCs w:val="24"/>
        </w:rPr>
      </w:pPr>
    </w:p>
    <w:p w14:paraId="188A714C">
      <w:pPr>
        <w:pStyle w:val="11"/>
        <w:tabs>
          <w:tab w:val="left" w:pos="1040"/>
        </w:tabs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Нязепетровского </w:t>
      </w:r>
    </w:p>
    <w:p w14:paraId="1549EE33">
      <w:pPr>
        <w:pStyle w:val="11"/>
        <w:tabs>
          <w:tab w:val="left" w:pos="1040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</w:t>
      </w:r>
      <w:r>
        <w:rPr>
          <w:color w:val="000000" w:themeColor="text1"/>
          <w:sz w:val="24"/>
          <w:szCs w:val="24"/>
        </w:rPr>
        <w:t xml:space="preserve">округа                                                                                           </w:t>
      </w:r>
      <w:r>
        <w:rPr>
          <w:sz w:val="24"/>
          <w:szCs w:val="24"/>
        </w:rPr>
        <w:t>С.А. Кравцов</w:t>
      </w:r>
    </w:p>
    <w:p w14:paraId="23329216">
      <w:pPr>
        <w:pStyle w:val="11"/>
        <w:spacing w:after="460" w:line="180" w:lineRule="auto"/>
        <w:ind w:left="5920" w:firstLine="40"/>
      </w:pPr>
    </w:p>
    <w:p w14:paraId="11606ED5">
      <w:pPr>
        <w:pStyle w:val="11"/>
        <w:spacing w:after="460" w:line="180" w:lineRule="auto"/>
        <w:ind w:left="5245" w:firstLine="40"/>
      </w:pPr>
    </w:p>
    <w:p w14:paraId="73D4CD7A">
      <w:pPr>
        <w:pStyle w:val="11"/>
        <w:spacing w:after="460" w:line="180" w:lineRule="auto"/>
        <w:ind w:left="5245" w:firstLine="40"/>
      </w:pPr>
    </w:p>
    <w:p w14:paraId="27EA0A1A">
      <w:pPr>
        <w:pStyle w:val="11"/>
        <w:spacing w:after="460" w:line="180" w:lineRule="auto"/>
        <w:ind w:firstLine="0"/>
        <w:rPr>
          <w:sz w:val="24"/>
          <w:szCs w:val="24"/>
        </w:rPr>
      </w:pPr>
    </w:p>
    <w:p w14:paraId="1C287458">
      <w:pPr>
        <w:widowControl/>
        <w:rPr>
          <w:rFonts w:ascii="Times New Roman" w:hAnsi="Times New Roman" w:eastAsia="Times New Roman" w:cs="Times New Roman"/>
          <w:color w:val="auto"/>
          <w:lang w:bidi="ar-SA"/>
        </w:rPr>
      </w:pPr>
    </w:p>
    <w:p w14:paraId="6F402521">
      <w:pPr>
        <w:widowControl/>
        <w:shd w:val="clear" w:color="auto" w:fill="FFFFFF"/>
        <w:rPr>
          <w:rFonts w:ascii="Times New Roman" w:hAnsi="Times New Roman" w:eastAsia="ヒラギノ角ゴ Pro W3" w:cs="Times New Roman"/>
          <w:lang w:bidi="ar-SA"/>
        </w:rPr>
      </w:pPr>
      <w:bookmarkStart w:id="14" w:name="_GoBack"/>
      <w:bookmarkEnd w:id="14"/>
      <w:r>
        <w:rPr>
          <w:rFonts w:ascii="Times New Roman" w:hAnsi="Times New Roman" w:eastAsia="ヒラギノ角ゴ Pro W3" w:cs="Times New Roman"/>
          <w:lang w:bidi="ar-SA"/>
        </w:rPr>
        <w:tab/>
      </w:r>
    </w:p>
    <w:p w14:paraId="3EE07859">
      <w:pPr>
        <w:widowControl/>
        <w:shd w:val="clear" w:color="auto" w:fill="FFFFFF"/>
      </w:pPr>
    </w:p>
    <w:p w14:paraId="5807E31E">
      <w:pPr>
        <w:pStyle w:val="11"/>
        <w:ind w:left="5245" w:firstLine="0"/>
        <w:rPr>
          <w:sz w:val="24"/>
          <w:szCs w:val="24"/>
        </w:rPr>
      </w:pPr>
    </w:p>
    <w:p w14:paraId="4D2E9E52">
      <w:pPr>
        <w:pStyle w:val="11"/>
        <w:ind w:left="5245" w:firstLine="0"/>
        <w:rPr>
          <w:sz w:val="24"/>
          <w:szCs w:val="24"/>
        </w:rPr>
      </w:pPr>
    </w:p>
    <w:p w14:paraId="245EF660">
      <w:pPr>
        <w:pStyle w:val="11"/>
        <w:ind w:left="5245" w:firstLine="0"/>
        <w:rPr>
          <w:sz w:val="24"/>
          <w:szCs w:val="24"/>
        </w:rPr>
      </w:pPr>
      <w:r>
        <w:rPr>
          <w:sz w:val="24"/>
          <w:szCs w:val="24"/>
        </w:rPr>
        <w:t>УТВЕРЖДЕН</w:t>
      </w:r>
    </w:p>
    <w:p w14:paraId="37E58E5B">
      <w:pPr>
        <w:pStyle w:val="11"/>
        <w:ind w:left="5245" w:firstLine="0"/>
        <w:rPr>
          <w:sz w:val="24"/>
          <w:szCs w:val="24"/>
        </w:rPr>
      </w:pPr>
      <w:r>
        <w:rPr>
          <w:sz w:val="24"/>
          <w:szCs w:val="24"/>
        </w:rPr>
        <w:t>постановлением администрации Нязепетровского муниципального округа от 28.10.2026 г. № 1508</w:t>
      </w:r>
    </w:p>
    <w:p w14:paraId="7591F95E">
      <w:pPr>
        <w:pStyle w:val="11"/>
        <w:ind w:left="5245" w:firstLine="40"/>
        <w:rPr>
          <w:sz w:val="24"/>
          <w:szCs w:val="24"/>
        </w:rPr>
      </w:pPr>
    </w:p>
    <w:p w14:paraId="2C581886">
      <w:pPr>
        <w:pStyle w:val="2"/>
      </w:pPr>
      <w:r>
        <w:t xml:space="preserve">Порядок и условия </w:t>
      </w:r>
      <w:r>
        <w:br w:type="textWrapping"/>
      </w:r>
      <w:r>
        <w:t>предоставления лицам, принимающих (принимавших) участие в специальной военной операции, и других категорий лиц меры поддержки по зачислению (в том числе при переводе из одной муниципальной организации, осуществляющей образовательную деятельность, в другую) в первоочередном порядке детей в наиболее приближенные к месту жительства семьи муниципальные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дня, расположенных на территории Нязепетровского муниципального округа</w:t>
      </w:r>
    </w:p>
    <w:p w14:paraId="3439BE85">
      <w:pPr>
        <w:rPr>
          <w:lang w:bidi="ar-SA"/>
        </w:rPr>
      </w:pPr>
    </w:p>
    <w:p w14:paraId="258D8C38">
      <w:pPr>
        <w:ind w:firstLine="709"/>
        <w:jc w:val="both"/>
        <w:rPr>
          <w:rFonts w:ascii="Times New Roman" w:hAnsi="Times New Roman" w:cs="Times New Roman"/>
        </w:rPr>
      </w:pPr>
      <w:bookmarkStart w:id="4" w:name="sub_1001"/>
      <w:r>
        <w:rPr>
          <w:rFonts w:ascii="Times New Roman" w:hAnsi="Times New Roman" w:cs="Times New Roman"/>
        </w:rPr>
        <w:t xml:space="preserve">1. Настоящие порядок и условия предоставления лицам, принимающих (принимавших) участие в специальной военной операции (далее именуется - СВО), и других категорий лиц меры поддержки по зачислению (в том числе при переводе из одной муниципальной организации, осуществляющей образовательную деятельность, в другую) в первоочередном порядке детей в наиболее приближенные к месту жительства семьи муниципальные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дня, расположенных на территории Нязепетровского муниципального округа (далее именуется - Порядок, образовательные организации) разработаны в соответствии с </w:t>
      </w:r>
      <w:r>
        <w:fldChar w:fldCharType="begin"/>
      </w:r>
      <w:r>
        <w:instrText xml:space="preserve"> HYPERLINK "https://internet.garant.ru/document/redirect/414749881/0" </w:instrText>
      </w:r>
      <w:r>
        <w:fldChar w:fldCharType="separate"/>
      </w:r>
      <w:r>
        <w:rPr>
          <w:rStyle w:val="23"/>
          <w:rFonts w:ascii="Times New Roman" w:hAnsi="Times New Roman" w:eastAsia="Arial"/>
          <w:color w:val="000000" w:themeColor="text1"/>
        </w:rPr>
        <w:t>Постановлени</w:t>
      </w:r>
      <w:r>
        <w:rPr>
          <w:rStyle w:val="23"/>
          <w:rFonts w:ascii="Times New Roman" w:hAnsi="Times New Roman" w:eastAsia="Arial"/>
          <w:color w:val="000000" w:themeColor="text1"/>
        </w:rPr>
        <w:fldChar w:fldCharType="end"/>
      </w:r>
      <w:r>
        <w:rPr>
          <w:rFonts w:ascii="Times New Roman" w:hAnsi="Times New Roman" w:cs="Times New Roman"/>
          <w:color w:val="000000" w:themeColor="text1"/>
        </w:rPr>
        <w:t>ем</w:t>
      </w:r>
      <w:r>
        <w:rPr>
          <w:rFonts w:ascii="Times New Roman" w:hAnsi="Times New Roman" w:cs="Times New Roman"/>
        </w:rPr>
        <w:t xml:space="preserve"> Губернатора Челябинской области от 12.08.2026 № 265 «О мерах поддержки лиц, принимающих (принимавших) участие в специальной военной операции, и других категорий лиц в Челябинской области» (далее именуется - </w:t>
      </w:r>
      <w:r>
        <w:fldChar w:fldCharType="begin"/>
      </w:r>
      <w:r>
        <w:instrText xml:space="preserve"> HYPERLINK "https://internet.garant.ru/document/redirect/414749881/0" </w:instrText>
      </w:r>
      <w:r>
        <w:fldChar w:fldCharType="separate"/>
      </w:r>
      <w:r>
        <w:rPr>
          <w:rStyle w:val="23"/>
          <w:rFonts w:ascii="Times New Roman" w:hAnsi="Times New Roman" w:eastAsia="Arial"/>
          <w:color w:val="000000" w:themeColor="text1"/>
        </w:rPr>
        <w:t>Постановлени</w:t>
      </w:r>
      <w:r>
        <w:rPr>
          <w:rStyle w:val="23"/>
          <w:rFonts w:ascii="Times New Roman" w:hAnsi="Times New Roman" w:eastAsia="Arial"/>
          <w:color w:val="000000" w:themeColor="text1"/>
        </w:rPr>
        <w:fldChar w:fldCharType="end"/>
      </w:r>
      <w:r>
        <w:rPr>
          <w:rFonts w:ascii="Times New Roman" w:hAnsi="Times New Roman" w:cs="Times New Roman"/>
          <w:color w:val="000000" w:themeColor="text1"/>
        </w:rPr>
        <w:t>е</w:t>
      </w:r>
      <w:r>
        <w:rPr>
          <w:rFonts w:ascii="Times New Roman" w:hAnsi="Times New Roman" w:cs="Times New Roman"/>
        </w:rPr>
        <w:t xml:space="preserve"> Губернатора Челябинской области).</w:t>
      </w:r>
    </w:p>
    <w:p w14:paraId="03B7FB20">
      <w:pPr>
        <w:ind w:firstLine="709"/>
        <w:jc w:val="both"/>
        <w:rPr>
          <w:rFonts w:ascii="Times New Roman" w:hAnsi="Times New Roman" w:cs="Times New Roman"/>
        </w:rPr>
      </w:pPr>
    </w:p>
    <w:bookmarkEnd w:id="4"/>
    <w:p w14:paraId="06D5F467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Мера поддержки предоставляется членам семей лиц, относящихся к одной из следующих категорий:</w:t>
      </w:r>
    </w:p>
    <w:p w14:paraId="6DF059C9">
      <w:pPr>
        <w:shd w:val="clear" w:color="auto" w:fill="FFFFFF"/>
        <w:ind w:firstLine="612"/>
        <w:jc w:val="both"/>
        <w:rPr>
          <w:rFonts w:ascii="Times New Roman" w:hAnsi="Times New Roman" w:eastAsia="Times New Roman" w:cs="Times New Roman"/>
        </w:rPr>
      </w:pPr>
      <w:bookmarkStart w:id="5" w:name="sub_1005"/>
      <w:r>
        <w:rPr>
          <w:rFonts w:ascii="Times New Roman" w:hAnsi="Times New Roman" w:eastAsia="Times New Roman" w:cs="Times New Roman"/>
        </w:rPr>
        <w:t>1) лицам, принимающим (принимавшим) участие (содействующим (содействовавшим) выполнению задач) в специальной военной операции;</w:t>
      </w:r>
    </w:p>
    <w:p w14:paraId="1D54BC52">
      <w:pPr>
        <w:shd w:val="clear" w:color="auto" w:fill="FFFFFF"/>
        <w:ind w:firstLine="612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2) лицам, выполняющим (выполнявшим) задачи по отражению вооруженного вторжения на территорию Российской Федерации (далее именуется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именуется - вооруженная провокация);</w:t>
      </w:r>
    </w:p>
    <w:p w14:paraId="2F0CDFDC">
      <w:pPr>
        <w:shd w:val="clear" w:color="auto" w:fill="FFFFFF"/>
        <w:ind w:firstLine="612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именуются - боевые действия);</w:t>
      </w:r>
    </w:p>
    <w:p w14:paraId="4F20C3FE">
      <w:pPr>
        <w:shd w:val="clear" w:color="auto" w:fill="FFFFFF"/>
        <w:ind w:firstLine="612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4) членам семей лиц, указанных в подпунктах 1 - 3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года № 61-ФЗ «Об обороне» (далее именуется - Закон № 61-ФЗ),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именуются - члены семей).</w:t>
      </w:r>
    </w:p>
    <w:bookmarkEnd w:id="5"/>
    <w:p w14:paraId="5041A702">
      <w:pPr>
        <w:shd w:val="clear" w:color="auto" w:fill="FFFFFF"/>
        <w:ind w:firstLine="612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3. Членами семьи признаются:</w:t>
      </w:r>
    </w:p>
    <w:p w14:paraId="4A507221">
      <w:pPr>
        <w:shd w:val="clear" w:color="auto" w:fill="FFFFFF"/>
        <w:ind w:firstLine="612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1) супруг (супруга);</w:t>
      </w:r>
    </w:p>
    <w:p w14:paraId="77DE97F5">
      <w:pPr>
        <w:shd w:val="clear" w:color="auto" w:fill="FFFFFF"/>
        <w:ind w:firstLine="612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2) дети, не достигшие возраста 18 лет, в том числе рожденные после гибели (смерти) лиц, указанных в подпунктах 1 - 3 пункта 2 настоящего постановления, и в отношении которых отцовство установлено в соответствии с пунктом 2 статьи 48 Семейного кодекса Российской Федерации;</w:t>
      </w:r>
    </w:p>
    <w:p w14:paraId="16FFAC90">
      <w:pPr>
        <w:shd w:val="clear" w:color="auto" w:fill="FFFFFF"/>
        <w:ind w:firstLine="612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3) дети старше 18 лет, ставшие инвалидами до достижения ими возраста 18 лет;</w:t>
      </w:r>
    </w:p>
    <w:p w14:paraId="2E123B6E">
      <w:pPr>
        <w:shd w:val="clear" w:color="auto" w:fill="FFFFFF"/>
        <w:ind w:firstLine="612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4) дети в возрасте до 23 лет, обучающиеся в организациях, осуществляющих образовательную деятельность, по очной форме обучения;</w:t>
      </w:r>
    </w:p>
    <w:p w14:paraId="7CD4D4F1">
      <w:pPr>
        <w:shd w:val="clear" w:color="auto" w:fill="FFFFFF"/>
        <w:ind w:firstLine="612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5) родители, проживающие совместно с лицами, указанными в подпунктах 1 - 3 пункта 2 настоящего постановления, либо проживавшие совместно с этими лицами на дату их гибели (смерти);</w:t>
      </w:r>
    </w:p>
    <w:p w14:paraId="45AD3361">
      <w:pPr>
        <w:shd w:val="clear" w:color="auto" w:fill="FFFFFF"/>
        <w:ind w:firstLine="612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6) лица, находящиеся на иждивении лиц, указанных в подпунктах 1 - 3 пункта 2 настоящего постановления, либо находившиеся на иждивении этих лиц на дату их гибели (смерти).</w:t>
      </w:r>
    </w:p>
    <w:p w14:paraId="2DE407A1">
      <w:pPr>
        <w:shd w:val="clear" w:color="auto" w:fill="FFFFFF"/>
        <w:ind w:firstLine="612"/>
        <w:jc w:val="both"/>
        <w:rPr>
          <w:rFonts w:ascii="Times New Roman" w:hAnsi="Times New Roman" w:eastAsia="Times New Roman" w:cs="Times New Roman"/>
        </w:rPr>
      </w:pPr>
      <w:r>
        <w:tab/>
      </w:r>
      <w:r>
        <w:rPr>
          <w:rFonts w:ascii="Times New Roman" w:hAnsi="Times New Roman" w:cs="Times New Roman"/>
          <w:b/>
        </w:rPr>
        <w:t xml:space="preserve">Условиями предоставления </w:t>
      </w:r>
      <w:r>
        <w:rPr>
          <w:rFonts w:ascii="Times New Roman" w:hAnsi="Times New Roman" w:eastAsia="Times New Roman" w:cs="Times New Roman"/>
        </w:rPr>
        <w:t xml:space="preserve">детям, не достигшим возраста 18 лет, в том числе рожденным после гибели (смерти) лиц, указанных в подпунктах 1 - 3 пункта 2 настоящего постановления, и в отношении которых отцовство установлено в соответствии с пунктом 2 статьи 48 Семейного кодекса Российской Федерации; а также лицам, находящимся на иждивении лиц, указанных в подпунктах 1 - 3 пункта 2 настоящего постановления, либо находившимся на иждивении этих лиц на дату их гибели (смерти) </w:t>
      </w:r>
      <w:r>
        <w:rPr>
          <w:rFonts w:ascii="Times New Roman" w:hAnsi="Times New Roman" w:cs="Times New Roman"/>
          <w:b/>
        </w:rPr>
        <w:t>меры поддержки по зачислению в первоочередном порядке</w:t>
      </w:r>
      <w:r>
        <w:rPr>
          <w:rFonts w:ascii="Times New Roman" w:hAnsi="Times New Roman" w:cs="Times New Roman"/>
        </w:rPr>
        <w:t xml:space="preserve"> детей в наиболее приближенные к месту жительства семьи муниципальные образовательные организации, осуществляющие образовательную деятельность </w:t>
      </w:r>
      <w:r>
        <w:rPr>
          <w:rFonts w:ascii="Times New Roman" w:hAnsi="Times New Roman" w:cs="Times New Roman"/>
          <w:b/>
        </w:rPr>
        <w:t>по образовательным программам дошкольного образования</w:t>
      </w:r>
      <w:r>
        <w:rPr>
          <w:rFonts w:ascii="Times New Roman" w:hAnsi="Times New Roman" w:cs="Times New Roman"/>
        </w:rPr>
        <w:t>, (в том числе при переводе из одной муниципальной организации, осуществляющей образовательную деятельность, в другую), расположенных на территории Нязепетровского муниципального округа, являются:</w:t>
      </w:r>
    </w:p>
    <w:p w14:paraId="20E7A873">
      <w:pPr>
        <w:ind w:firstLine="6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наличие у заявителя статуса члена семьи участника СВО;</w:t>
      </w:r>
    </w:p>
    <w:p w14:paraId="02DF1F63">
      <w:pPr>
        <w:ind w:firstLine="6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ребенок состоит на учете в </w:t>
      </w:r>
      <w:r>
        <w:rPr>
          <w:rFonts w:ascii="Times New Roman" w:hAnsi="Times New Roman" w:cs="Times New Roman"/>
          <w:color w:val="auto"/>
        </w:rPr>
        <w:t>региональной</w:t>
      </w:r>
      <w:r>
        <w:rPr>
          <w:rFonts w:ascii="Times New Roman" w:hAnsi="Times New Roman" w:cs="Times New Roman"/>
        </w:rPr>
        <w:t xml:space="preserve"> информационной системе учета детей, нуждающихся в получении дошкольного образования;</w:t>
      </w:r>
    </w:p>
    <w:p w14:paraId="582B5F85">
      <w:pPr>
        <w:ind w:firstLine="6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заявитель проживает (имеет регистрацию по месту жительства или пребывания) на территории Нязепетровского муниципального округа либо фактически проживает на указанной территории при </w:t>
      </w:r>
      <w:r>
        <w:rPr>
          <w:rFonts w:ascii="Times New Roman" w:hAnsi="Times New Roman" w:cs="Times New Roman"/>
          <w:color w:val="auto"/>
        </w:rPr>
        <w:t>наличии подтверждающих документов;</w:t>
      </w:r>
    </w:p>
    <w:p w14:paraId="083979BF">
      <w:pPr>
        <w:ind w:firstLine="6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дошкольной образовательной организации (далее именуется - ДОО) имеются свободные места, либо возможно предоставление места в иной ДОО в пределах муниципального образования с учетом транспортной доступности.</w:t>
      </w:r>
    </w:p>
    <w:p w14:paraId="64F7ADAD">
      <w:pPr>
        <w:ind w:firstLine="6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Первоочередное зачисление не отменяет необходимости соблюдения санитарно-эпидемиологических требований и иных обязательных условий приёма в ДОО, установленных действующим законодательством.</w:t>
      </w:r>
    </w:p>
    <w:p w14:paraId="4D273B30">
      <w:pPr>
        <w:ind w:firstLine="6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получения меры социальной поддержки заявитель (родитель, законный представитель ребенка) подает в Управление образования администрации Нязепетровского муниципального округа (далее именуется – Управление образования) заявление по установленной форме. К заявлению прикладываются документы, подтверждающие право первоочередного приема в наиболее приближенную к месту жительства семьи образовательную организацию.</w:t>
      </w:r>
    </w:p>
    <w:p w14:paraId="34834122">
      <w:pPr>
        <w:ind w:firstLine="6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Факт участия в СВО подтверждается в соответствии с </w:t>
      </w:r>
      <w:r>
        <w:fldChar w:fldCharType="begin"/>
      </w:r>
      <w:r>
        <w:instrText xml:space="preserve"> HYPERLINK "https://internet.garant.ru/document/redirect/410509293/0" </w:instrText>
      </w:r>
      <w:r>
        <w:fldChar w:fldCharType="separate"/>
      </w:r>
      <w:r>
        <w:rPr>
          <w:rStyle w:val="23"/>
          <w:rFonts w:ascii="Times New Roman" w:hAnsi="Times New Roman"/>
          <w:color w:val="auto"/>
        </w:rPr>
        <w:t>постановлением</w:t>
      </w:r>
      <w:r>
        <w:rPr>
          <w:rStyle w:val="23"/>
          <w:rFonts w:ascii="Times New Roman" w:hAnsi="Times New Roman"/>
          <w:color w:val="auto"/>
        </w:rPr>
        <w:fldChar w:fldCharType="end"/>
      </w:r>
      <w:r>
        <w:rPr>
          <w:rFonts w:ascii="Times New Roman" w:hAnsi="Times New Roman" w:cs="Times New Roman"/>
        </w:rPr>
        <w:t xml:space="preserve"> Правительства Российской Федерации от 09.10.2024 № 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области».</w:t>
      </w:r>
    </w:p>
    <w:p w14:paraId="25A81BA5">
      <w:pPr>
        <w:ind w:firstLine="6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Заявитель направляет заявление, а также необходимые документы и информацию одним из следующих способов:</w:t>
      </w:r>
    </w:p>
    <w:p w14:paraId="4CBACDD0">
      <w:pPr>
        <w:ind w:firstLine="6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непосредственно (лично);</w:t>
      </w:r>
    </w:p>
    <w:p w14:paraId="23611F26">
      <w:pPr>
        <w:ind w:firstLine="6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орган местного самоуправления на бумажном носителе;</w:t>
      </w:r>
    </w:p>
    <w:p w14:paraId="30BB3228">
      <w:pPr>
        <w:ind w:firstLine="6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через многофункциональные центры предоставления государственных и муниципальных услуг, в случае наличия соглашения, заключенного в соответствии </w:t>
      </w:r>
      <w:r>
        <w:rPr>
          <w:rFonts w:ascii="Times New Roman" w:hAnsi="Times New Roman" w:cs="Times New Roman"/>
          <w:color w:val="auto"/>
        </w:rPr>
        <w:t xml:space="preserve">с </w:t>
      </w:r>
      <w:r>
        <w:fldChar w:fldCharType="begin"/>
      </w:r>
      <w:r>
        <w:instrText xml:space="preserve"> HYPERLINK "https://internet.garant.ru/document/redirect/12177515/0" </w:instrText>
      </w:r>
      <w:r>
        <w:fldChar w:fldCharType="separate"/>
      </w:r>
      <w:r>
        <w:rPr>
          <w:rStyle w:val="23"/>
          <w:rFonts w:ascii="Times New Roman" w:hAnsi="Times New Roman"/>
          <w:color w:val="auto"/>
        </w:rPr>
        <w:t>Федеральным законом</w:t>
      </w:r>
      <w:r>
        <w:rPr>
          <w:rStyle w:val="23"/>
          <w:rFonts w:ascii="Times New Roman" w:hAnsi="Times New Roman"/>
          <w:color w:val="auto"/>
        </w:rPr>
        <w:fldChar w:fldCharType="end"/>
      </w:r>
      <w:r>
        <w:rPr>
          <w:rFonts w:ascii="Times New Roman" w:hAnsi="Times New Roman" w:cs="Times New Roman"/>
        </w:rPr>
        <w:t xml:space="preserve"> от 27.07.2010 № 210-ФЗ «Об организации предоставления государственных и муниципальных услуг»;</w:t>
      </w:r>
    </w:p>
    <w:p w14:paraId="61B7154B">
      <w:pPr>
        <w:ind w:firstLine="6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электронной форме с использованием федеральной государственной информационной системы «</w:t>
      </w:r>
      <w:r>
        <w:fldChar w:fldCharType="begin"/>
      </w:r>
      <w:r>
        <w:instrText xml:space="preserve"> HYPERLINK "https://internet.garant.ru/document/redirect/8766723/144" </w:instrText>
      </w:r>
      <w:r>
        <w:fldChar w:fldCharType="separate"/>
      </w:r>
      <w:r>
        <w:rPr>
          <w:rStyle w:val="23"/>
          <w:rFonts w:ascii="Times New Roman" w:hAnsi="Times New Roman"/>
          <w:color w:val="auto"/>
        </w:rPr>
        <w:t>Единый портал</w:t>
      </w:r>
      <w:r>
        <w:rPr>
          <w:rStyle w:val="23"/>
          <w:rFonts w:ascii="Times New Roman" w:hAnsi="Times New Roman"/>
          <w:color w:val="auto"/>
        </w:rPr>
        <w:fldChar w:fldCharType="end"/>
      </w:r>
      <w:r>
        <w:rPr>
          <w:rFonts w:ascii="Times New Roman" w:hAnsi="Times New Roman" w:cs="Times New Roman"/>
        </w:rPr>
        <w:t xml:space="preserve"> государственных и муниципальных услуг (функций)».</w:t>
      </w:r>
    </w:p>
    <w:p w14:paraId="40FFED8A">
      <w:pPr>
        <w:ind w:firstLine="708"/>
        <w:jc w:val="both"/>
        <w:rPr>
          <w:rFonts w:ascii="Times New Roman" w:hAnsi="Times New Roman" w:cs="Times New Roman"/>
          <w:strike/>
        </w:rPr>
      </w:pPr>
    </w:p>
    <w:p w14:paraId="2C4D7E4C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рассмотрения заявления - не более 5 рабочих дней со дня регистрации полного комплекта документов.</w:t>
      </w:r>
    </w:p>
    <w:p w14:paraId="69943A8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результатам рассмотрения принимается одно из решений:</w:t>
      </w:r>
    </w:p>
    <w:p w14:paraId="39F636C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предоставлении меры поддержки (с указанием ДОО и планируемой даты зачисления);</w:t>
      </w:r>
    </w:p>
    <w:p w14:paraId="1A78764C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отказе в предоставлении меры поддержки - с мотивированным обоснованием и разъяснением порядка обжалования.</w:t>
      </w:r>
    </w:p>
    <w:p w14:paraId="5F3FA28D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Основаниями для отказа являются:</w:t>
      </w:r>
    </w:p>
    <w:p w14:paraId="5247F93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отсутствие права на меру поддержки (несоответствие категории заявителя или ребенка требованиям Порядка);</w:t>
      </w:r>
    </w:p>
    <w:p w14:paraId="11CAD9F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непредоставление обязательных документов, если их невозможно получить в порядке межведомственного взаимодействия;</w:t>
      </w:r>
    </w:p>
    <w:p w14:paraId="456B25B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отсутствие свободных мест в ДОО на территории муниципального образования при невозможности предложить альтернативное место с учетом транспортной доступности;</w:t>
      </w:r>
    </w:p>
    <w:p w14:paraId="21A790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представление недостоверных сведений.</w:t>
      </w:r>
    </w:p>
    <w:p w14:paraId="688C881E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отсутствии свободных мест в желаемой ДОО орган местного самоуправления обязан предложить заявителю место в иной ДОО на территории муниципального образования либо сформировать отдельный учет для первоочередного предложения места при его появлении.</w:t>
      </w:r>
    </w:p>
    <w:p w14:paraId="4C18965C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наличии свободного места зачисление ребенка осуществляется в срок не позднее 30 календарных дней со дня принятия решения о предоставлении меры поддержки либо в иную дату по согласованию с заявителем.</w:t>
      </w:r>
    </w:p>
    <w:p w14:paraId="7C2D1BF7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ДОО издает приказ о зачислении ребенка с указанием основания предоставления меры поддержки.</w:t>
      </w:r>
    </w:p>
    <w:p w14:paraId="1F095586">
      <w:pPr>
        <w:ind w:firstLine="708"/>
        <w:jc w:val="both"/>
        <w:rPr>
          <w:rFonts w:ascii="Times New Roman" w:hAnsi="Times New Roman" w:cs="Times New Roman"/>
        </w:rPr>
      </w:pPr>
    </w:p>
    <w:p w14:paraId="52FABA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bookmarkStart w:id="6" w:name="sub_1007"/>
      <w:r>
        <w:rPr>
          <w:rFonts w:ascii="Times New Roman" w:hAnsi="Times New Roman" w:cs="Times New Roman"/>
        </w:rPr>
        <w:t xml:space="preserve">4. Для реализации права меры социальной поддержки </w:t>
      </w:r>
      <w:r>
        <w:rPr>
          <w:rFonts w:ascii="Times New Roman" w:hAnsi="Times New Roman" w:eastAsia="Times New Roman" w:cs="Times New Roman"/>
        </w:rPr>
        <w:t>детям, не достигшим возраста 18 лет, в том числе рожденным после гибели (смерти) лиц, указанных в подпунктах 1 - 3 пункта 2 настоящего постановления, и в отношении которых отцовство установлено в соответствии с пунктом 2 статьи 48 Семейного кодекса Российской Федерации; а также лицам, находящимся на иждивении лиц, указанных в подпунктах 1 - 3 пункта 2 настоящего постановления, либо находившимся на иждивении этих лиц на дату их гибели (смерти)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/>
        </w:rPr>
        <w:t>меры поддержки по зачислению</w:t>
      </w:r>
      <w:r>
        <w:rPr>
          <w:rFonts w:ascii="Times New Roman" w:hAnsi="Times New Roman" w:cs="Times New Roman"/>
        </w:rPr>
        <w:t xml:space="preserve"> (в том числе при переводе из одной муниципальной организации, осуществляющей образовательную деятельность, в другую) </w:t>
      </w:r>
      <w:r>
        <w:rPr>
          <w:rFonts w:ascii="Times New Roman" w:hAnsi="Times New Roman" w:cs="Times New Roman"/>
          <w:b/>
        </w:rPr>
        <w:t>в первоочередном порядке</w:t>
      </w:r>
      <w:r>
        <w:rPr>
          <w:rFonts w:ascii="Times New Roman" w:hAnsi="Times New Roman" w:cs="Times New Roman"/>
        </w:rPr>
        <w:t xml:space="preserve"> детей в наиболее приближенные к месту жительства семьи муниципальные образовательные организации, осуществляющие образовательную деятельность </w:t>
      </w:r>
      <w:r>
        <w:rPr>
          <w:rFonts w:ascii="Times New Roman" w:hAnsi="Times New Roman" w:cs="Times New Roman"/>
          <w:b/>
        </w:rPr>
        <w:t>по образовательным программам начального общего, основного</w:t>
      </w:r>
      <w:r>
        <w:rPr>
          <w:rFonts w:ascii="Times New Roman" w:hAnsi="Times New Roman" w:cs="Times New Roman"/>
        </w:rPr>
        <w:t xml:space="preserve"> общего и </w:t>
      </w:r>
      <w:r>
        <w:rPr>
          <w:rFonts w:ascii="Times New Roman" w:hAnsi="Times New Roman" w:cs="Times New Roman"/>
          <w:b/>
        </w:rPr>
        <w:t>среднего общего образования</w:t>
      </w:r>
      <w:r>
        <w:rPr>
          <w:rFonts w:ascii="Times New Roman" w:hAnsi="Times New Roman" w:cs="Times New Roman"/>
        </w:rPr>
        <w:t>, расположенных на территории Нязепетровского муниципального округа родитель (законный представитель) ребенка участника специальной военной операции (далее именуется - заявитель) подает заявление одним из следующих способов:</w:t>
      </w:r>
    </w:p>
    <w:bookmarkEnd w:id="6"/>
    <w:p w14:paraId="083B57E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электронной форме посредством федеральной государственной информационной системы «</w:t>
      </w:r>
      <w:r>
        <w:fldChar w:fldCharType="begin"/>
      </w:r>
      <w:r>
        <w:instrText xml:space="preserve"> HYPERLINK "https://internet.garant.ru/document/redirect/8766723/144" </w:instrText>
      </w:r>
      <w:r>
        <w:fldChar w:fldCharType="separate"/>
      </w:r>
      <w:r>
        <w:rPr>
          <w:rStyle w:val="23"/>
          <w:rFonts w:ascii="Times New Roman" w:hAnsi="Times New Roman"/>
          <w:color w:val="auto"/>
        </w:rPr>
        <w:t>Единый портал</w:t>
      </w:r>
      <w:r>
        <w:rPr>
          <w:rStyle w:val="23"/>
          <w:rFonts w:ascii="Times New Roman" w:hAnsi="Times New Roman"/>
          <w:color w:val="auto"/>
        </w:rPr>
        <w:fldChar w:fldCharType="end"/>
      </w:r>
      <w:r>
        <w:rPr>
          <w:rFonts w:ascii="Times New Roman" w:hAnsi="Times New Roman" w:cs="Times New Roman"/>
        </w:rPr>
        <w:t xml:space="preserve"> государственных и муниципальных услуг (функций)»;</w:t>
      </w:r>
    </w:p>
    <w:p w14:paraId="3E0CA17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через операторов почтовой связи общего пользования заказным письмом с уведомлением;</w:t>
      </w:r>
    </w:p>
    <w:p w14:paraId="33BA65D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лично в образовательную организацию;</w:t>
      </w:r>
    </w:p>
    <w:p w14:paraId="6666676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через многофункциональные центры предоставления государственных и муниципальных услуг.</w:t>
      </w:r>
    </w:p>
    <w:p w14:paraId="0415935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заявлению прикладываются документы, подтверждающие право первоочередного приема в наиболее приближенную к месту жительства семьи общеобразовательную организацию.</w:t>
      </w:r>
    </w:p>
    <w:p w14:paraId="077E3C6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Факт участия в СВО подтверждается в соответствии с </w:t>
      </w:r>
      <w:r>
        <w:fldChar w:fldCharType="begin"/>
      </w:r>
      <w:r>
        <w:instrText xml:space="preserve"> HYPERLINK "https://internet.garant.ru/document/redirect/410509293/0" </w:instrText>
      </w:r>
      <w:r>
        <w:fldChar w:fldCharType="separate"/>
      </w:r>
      <w:r>
        <w:rPr>
          <w:rStyle w:val="23"/>
          <w:rFonts w:ascii="Times New Roman" w:hAnsi="Times New Roman"/>
          <w:color w:val="auto"/>
        </w:rPr>
        <w:t>постановлением</w:t>
      </w:r>
      <w:r>
        <w:rPr>
          <w:rStyle w:val="23"/>
          <w:rFonts w:ascii="Times New Roman" w:hAnsi="Times New Roman"/>
          <w:color w:val="auto"/>
        </w:rPr>
        <w:fldChar w:fldCharType="end"/>
      </w:r>
      <w:r>
        <w:rPr>
          <w:rFonts w:ascii="Times New Roman" w:hAnsi="Times New Roman" w:cs="Times New Roman"/>
        </w:rPr>
        <w:t xml:space="preserve"> Правительства Российской Федерации от 09.10.2024 № 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области».</w:t>
      </w:r>
    </w:p>
    <w:p w14:paraId="2A6AB2B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Должностными лицами, ответственными за прием и рассмотрение документов, необходимых для предоставления меры поддержки являются работники образовательной организации.</w:t>
      </w:r>
    </w:p>
    <w:p w14:paraId="060CCAF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Работник образовательной организации совершает следующие действия:</w:t>
      </w:r>
    </w:p>
    <w:p w14:paraId="7B27745E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проверяет документы, представленные заявителем, на наличие оснований для отказа в приеме документов, необходимых для предоставления меры поддержки;</w:t>
      </w:r>
    </w:p>
    <w:p w14:paraId="7C6AA112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наличии оснований для отказа в приеме документов, необходимых для предоставления меры поддержки, оформляет уведомление об отказе в приеме заявления, по установленной форме с обоснованием причин отказа и направляет (вручает) его заявителю.</w:t>
      </w:r>
    </w:p>
    <w:p w14:paraId="431EC80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Документы, в отношении которых установлены основания для отказа в приеме документов, необходимых для предоставления меры поддержки, не считаются поступившими в образовательную организацию и не подлежат дальнейшему рассмотрению. Указанные документы в случае их представления в образовательную организацию на бумажном носителе возвращаются заявителю вместе с уведомлением об отказе.</w:t>
      </w:r>
    </w:p>
    <w:p w14:paraId="2562880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отсутствии оснований для отказа в приеме документов, необходимых для предоставления меры поддержки:</w:t>
      </w:r>
    </w:p>
    <w:p w14:paraId="57D3433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регистрирует заявление и прилагаемые к нему документы в журнале приема заявлений о приеме на обучение в образовательную организацию;</w:t>
      </w:r>
    </w:p>
    <w:p w14:paraId="59F0BB7D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оформляет уведомление о факте приема заявления и направляет (вручает) его заявителю:</w:t>
      </w:r>
    </w:p>
    <w:p w14:paraId="6D91CBC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бумажном носителе путем вручения лично заявителю (при личном представлении документов в образовательную организацию заявителем);</w:t>
      </w:r>
    </w:p>
    <w:p w14:paraId="75C8979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бумажном носителе посредством почтового отправления с уведомлением по почтовому адресу, указанному в заявлении (при поступлении документов в образовательную организацию посредством почтового отправления с уведомлением);</w:t>
      </w:r>
    </w:p>
    <w:p w14:paraId="14085C97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форме электронного документа по адресу электронной почты, указанному в заявлении (при поступлении документов в образовательную организацию в форме электронного документа), и в личный кабинет на федеральном портале (при подаче документов в образовательную организацию посредством федерального портала).</w:t>
      </w:r>
    </w:p>
    <w:p w14:paraId="7ACEBD67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Результатом предоставления меры поддержки является уведомление о факте приема заявления о зачислении (о приеме на обучение) в образовательную организацию или уведомление об отказе в приеме заявления о зачислении (о приеме на обучение) в образовательную организацию.</w:t>
      </w:r>
    </w:p>
    <w:p w14:paraId="2CB8B09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рассмотрения заявления составляет 1 рабочий день со дня поступления в образовательную организацию заявления о зачислении в образовательную организацию.</w:t>
      </w:r>
    </w:p>
    <w:p w14:paraId="4729B73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приеме в муниципальную образовательную организацию может быть отказано только по причине отсутствия в ней свободных мест.</w:t>
      </w:r>
    </w:p>
    <w:p w14:paraId="69AF62EC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отсутствия мест в  муниципальной образовательной организации родители (законные представители) ребенка для решения вопроса о его устройстве в другую общеобразовательную организацию обращаются непосредственно в Управление образования.</w:t>
      </w:r>
    </w:p>
    <w:p w14:paraId="33803523">
      <w:pPr>
        <w:ind w:firstLine="708"/>
        <w:jc w:val="both"/>
        <w:rPr>
          <w:rFonts w:ascii="Times New Roman" w:hAnsi="Times New Roman" w:cs="Times New Roman"/>
        </w:rPr>
      </w:pPr>
    </w:p>
    <w:p w14:paraId="28C8CE6F">
      <w:pPr>
        <w:ind w:firstLine="708"/>
        <w:jc w:val="both"/>
        <w:rPr>
          <w:rFonts w:ascii="Times New Roman" w:hAnsi="Times New Roman" w:cs="Times New Roman"/>
        </w:rPr>
      </w:pPr>
      <w:bookmarkStart w:id="7" w:name="sub_1008"/>
      <w:r>
        <w:rPr>
          <w:rFonts w:ascii="Times New Roman" w:hAnsi="Times New Roman" w:cs="Times New Roman"/>
        </w:rPr>
        <w:t xml:space="preserve">5. Для реализации права меры социальной поддержки </w:t>
      </w:r>
      <w:r>
        <w:rPr>
          <w:rFonts w:ascii="Times New Roman" w:hAnsi="Times New Roman" w:eastAsia="Times New Roman" w:cs="Times New Roman"/>
        </w:rPr>
        <w:t>детям, не достигшим возраста 18 лет, в том числе рожденным после гибели (смерти) лиц, указанных в подпунктах 1 - 3 пункта 2 настоящего постановления, и в отношении которых отцовство установлено в соответствии с пунктом 2 статьи 48 Семейного кодекса Российской Федерации; а также лицам, находящимся на иждивении лиц, указанных в подпунктах 1 - 3 пункта 2 настоящего постановления, либо находившимся на иждивении этих лиц на дату их гибели (смерти)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/>
        </w:rPr>
        <w:t>меры поддержки по зачислению в группы продленного дня образовательных организаций</w:t>
      </w:r>
      <w:r>
        <w:rPr>
          <w:rFonts w:ascii="Times New Roman" w:hAnsi="Times New Roman" w:cs="Times New Roman"/>
        </w:rPr>
        <w:t>, осуществляющие образовательную деятельность по образовательным программам начального общего, основного общего и среднего общего образования, расположенные на территории Нязепетровского муниципального округа, в первоочередном порядке детей, родитель (законный представитель) ребенка участника специальной военной операции (далее именуется - заявитель) подает заявление одним из следующих способов:</w:t>
      </w:r>
    </w:p>
    <w:bookmarkEnd w:id="7"/>
    <w:p w14:paraId="44125BE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через операторов почтовой связи общего пользования заказным письмом с уведомлением;</w:t>
      </w:r>
    </w:p>
    <w:p w14:paraId="2D7AFFDE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через многофункциональные центры предоставления государственных и муниципальных услуг;</w:t>
      </w:r>
    </w:p>
    <w:p w14:paraId="29A2270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лично в образовательную организацию, в которой обучается ребенок.</w:t>
      </w:r>
    </w:p>
    <w:p w14:paraId="69B70F0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заявлению прикладываются документы, подтверждающие право первоочередного приема в группу продленного дня.</w:t>
      </w:r>
    </w:p>
    <w:p w14:paraId="7146562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Факт участия в СВО подтверждается в соответствии с </w:t>
      </w:r>
      <w:r>
        <w:fldChar w:fldCharType="begin"/>
      </w:r>
      <w:r>
        <w:instrText xml:space="preserve"> HYPERLINK "https://internet.garant.ru/document/redirect/410509293/0" </w:instrText>
      </w:r>
      <w:r>
        <w:fldChar w:fldCharType="separate"/>
      </w:r>
      <w:r>
        <w:rPr>
          <w:rStyle w:val="23"/>
          <w:rFonts w:ascii="Times New Roman" w:hAnsi="Times New Roman"/>
          <w:color w:val="auto"/>
        </w:rPr>
        <w:t>постановлением</w:t>
      </w:r>
      <w:r>
        <w:rPr>
          <w:rStyle w:val="23"/>
          <w:rFonts w:ascii="Times New Roman" w:hAnsi="Times New Roman"/>
          <w:color w:val="auto"/>
        </w:rPr>
        <w:fldChar w:fldCharType="end"/>
      </w:r>
      <w:r>
        <w:rPr>
          <w:rFonts w:ascii="Times New Roman" w:hAnsi="Times New Roman" w:cs="Times New Roman"/>
        </w:rPr>
        <w:t xml:space="preserve"> Правительства Российской Федерации от 09.10.2024 № 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области».</w:t>
      </w:r>
    </w:p>
    <w:p w14:paraId="01357EF3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Должностными лицами, ответственными за прием и рассмотрение документов, необходимых для предоставления меры поддержки являются работники образовательной организации.</w:t>
      </w:r>
    </w:p>
    <w:p w14:paraId="2B26DC0B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Работник образовательной организации совершает следующие действия: проверяет документы, представленные заявителем, на наличие оснований для отказа в приеме документов, необходимых для предоставления меры поддержки;</w:t>
      </w:r>
    </w:p>
    <w:p w14:paraId="7129194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наличии оснований для отказа в приеме документов, необходимых для предоставления меры поддержки, оформляет уведомление об отказе в приеме заявления с обоснованием причин отказа и направляет (вручает) его заявителю.</w:t>
      </w:r>
    </w:p>
    <w:p w14:paraId="718882D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Документы, в отношении которых установлены основания для отказа в приеме документов, необходимых для предоставления меры поддержки, не считаются поступившими в образовательную организацию и не подлежат дальнейшему рассмотрению. Указанные документы в случае их представления в образовательную организацию на бумажном носителе возвращаются заявителю вместе с уведомлением об отказе.</w:t>
      </w:r>
    </w:p>
    <w:p w14:paraId="01EEDC9E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отсутствии оснований для отказа в приеме документов, необходимых для предоставления меры поддержки:</w:t>
      </w:r>
    </w:p>
    <w:p w14:paraId="1E71D92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регистрирует заявление и прилагаемые к нему документы в журнале приема заявлений о приеме на обучение в образовательную организацию;</w:t>
      </w:r>
    </w:p>
    <w:p w14:paraId="53DFDF0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оформляет уведомление о факте приема заявления и направляет (вручает) его заявителю:</w:t>
      </w:r>
    </w:p>
    <w:p w14:paraId="6456DE6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бумажном носителе путем вручения лично заявителю (при личном представлении документов в образовательную организацию заявителем);</w:t>
      </w:r>
    </w:p>
    <w:p w14:paraId="0A2A746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бумажном носителе посредством почтового отправления с уведомлением по почтовому адресу, указанному в заявлении (при поступлении документов в образовательную организацию посредством почтового отправления с уведомлением);</w:t>
      </w:r>
    </w:p>
    <w:p w14:paraId="1AB8F4D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форме электронного документа по адресу электронной почты, указанному в заявлении (при поступлении документов в образовательную организацию в форме электронного документа).</w:t>
      </w:r>
    </w:p>
    <w:p w14:paraId="43EE807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Рекомендуемый образец уведомления о поступлении с указанием перечня документов, представленных заявителем, утверждается Министерством образования и науки Челябинской области.</w:t>
      </w:r>
    </w:p>
    <w:p w14:paraId="678BD162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Результатом предоставления меры поддержки является уведомление о факте приема заявления о зачислении (о приеме) в группу продленного дня или уведомление об отказе в приеме заявления о зачислении (о приеме на обучение) в группу продленного дня.</w:t>
      </w:r>
    </w:p>
    <w:p w14:paraId="425F23B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рассмотрения заявления составляет 1 рабочий день со дня поступления в образовательную организацию заявления о зачислении в группу продленного дня.</w:t>
      </w:r>
    </w:p>
    <w:p w14:paraId="0CE1BEF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приеме в группу продленного дня может быть отказано только по причине отсутствия в ней свободных мест.</w:t>
      </w:r>
    </w:p>
    <w:p w14:paraId="13914D91">
      <w:pPr>
        <w:ind w:firstLine="708"/>
        <w:jc w:val="both"/>
        <w:rPr>
          <w:rFonts w:ascii="Times New Roman" w:hAnsi="Times New Roman" w:cs="Times New Roman"/>
        </w:rPr>
      </w:pPr>
    </w:p>
    <w:p w14:paraId="6BC722F8">
      <w:pPr>
        <w:pStyle w:val="11"/>
        <w:ind w:left="5245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64DFD7">
      <w:pPr>
        <w:pStyle w:val="11"/>
        <w:ind w:left="5245" w:firstLine="0"/>
      </w:pPr>
    </w:p>
    <w:p w14:paraId="5435DE04">
      <w:pPr>
        <w:pStyle w:val="11"/>
        <w:ind w:left="5245" w:firstLine="0"/>
      </w:pPr>
    </w:p>
    <w:p w14:paraId="3623FAE6">
      <w:pPr>
        <w:pStyle w:val="11"/>
        <w:ind w:left="5245" w:firstLine="0"/>
      </w:pPr>
    </w:p>
    <w:p w14:paraId="5C81843B">
      <w:pPr>
        <w:pStyle w:val="11"/>
        <w:ind w:left="5245" w:firstLine="0"/>
      </w:pPr>
    </w:p>
    <w:p w14:paraId="0B654FC4">
      <w:pPr>
        <w:pStyle w:val="11"/>
        <w:ind w:left="5245" w:firstLine="0"/>
      </w:pPr>
    </w:p>
    <w:p w14:paraId="2DBECBC7">
      <w:pPr>
        <w:pStyle w:val="11"/>
        <w:ind w:left="5245" w:firstLine="0"/>
      </w:pPr>
    </w:p>
    <w:p w14:paraId="571267BE">
      <w:pPr>
        <w:pStyle w:val="11"/>
        <w:ind w:left="5245" w:firstLine="0"/>
      </w:pPr>
    </w:p>
    <w:p w14:paraId="21CCCF74">
      <w:pPr>
        <w:pStyle w:val="11"/>
        <w:ind w:left="5245" w:firstLine="0"/>
      </w:pPr>
    </w:p>
    <w:p w14:paraId="6E5D3CC3">
      <w:pPr>
        <w:pStyle w:val="11"/>
        <w:ind w:left="5245" w:firstLine="0"/>
      </w:pPr>
    </w:p>
    <w:p w14:paraId="0EC4467E">
      <w:pPr>
        <w:pStyle w:val="11"/>
        <w:ind w:left="5245" w:firstLine="0"/>
      </w:pPr>
    </w:p>
    <w:p w14:paraId="56F9BD8C">
      <w:pPr>
        <w:pStyle w:val="11"/>
        <w:ind w:left="5245" w:firstLine="0"/>
      </w:pPr>
    </w:p>
    <w:p w14:paraId="5289A58E">
      <w:pPr>
        <w:pStyle w:val="11"/>
        <w:ind w:left="5245" w:firstLine="0"/>
      </w:pPr>
    </w:p>
    <w:p w14:paraId="4943B84D">
      <w:pPr>
        <w:pStyle w:val="11"/>
        <w:ind w:left="5245" w:firstLine="0"/>
      </w:pPr>
    </w:p>
    <w:p w14:paraId="31BAB771">
      <w:pPr>
        <w:pStyle w:val="11"/>
        <w:ind w:left="5245" w:firstLine="0"/>
      </w:pPr>
    </w:p>
    <w:p w14:paraId="28D11EF3">
      <w:pPr>
        <w:pStyle w:val="11"/>
        <w:ind w:left="5245" w:firstLine="0"/>
      </w:pPr>
    </w:p>
    <w:p w14:paraId="2ADFA9FF">
      <w:pPr>
        <w:pStyle w:val="11"/>
        <w:ind w:left="5245" w:firstLine="0"/>
      </w:pPr>
    </w:p>
    <w:p w14:paraId="400D2718">
      <w:pPr>
        <w:pStyle w:val="11"/>
        <w:ind w:left="5245" w:firstLine="0"/>
      </w:pPr>
    </w:p>
    <w:p w14:paraId="42ECC575">
      <w:pPr>
        <w:pStyle w:val="11"/>
        <w:ind w:left="5245" w:firstLine="0"/>
      </w:pPr>
    </w:p>
    <w:p w14:paraId="08CB69BF">
      <w:pPr>
        <w:pStyle w:val="11"/>
        <w:ind w:left="5245" w:firstLine="0"/>
      </w:pPr>
    </w:p>
    <w:p w14:paraId="7F4EA7CC">
      <w:pPr>
        <w:pStyle w:val="11"/>
        <w:ind w:left="5245" w:firstLine="0"/>
      </w:pPr>
    </w:p>
    <w:p w14:paraId="69D7F981">
      <w:pPr>
        <w:pStyle w:val="11"/>
        <w:ind w:left="5245" w:firstLine="0"/>
      </w:pPr>
    </w:p>
    <w:p w14:paraId="4F141441">
      <w:pPr>
        <w:pStyle w:val="11"/>
        <w:ind w:left="5245" w:firstLine="0"/>
      </w:pPr>
    </w:p>
    <w:p w14:paraId="3EC82566">
      <w:pPr>
        <w:pStyle w:val="11"/>
        <w:ind w:left="5245" w:firstLine="0"/>
      </w:pPr>
    </w:p>
    <w:p w14:paraId="09577B4E">
      <w:pPr>
        <w:pStyle w:val="11"/>
        <w:ind w:left="5245" w:firstLine="0"/>
      </w:pPr>
    </w:p>
    <w:p w14:paraId="0A80905F">
      <w:pPr>
        <w:pStyle w:val="11"/>
        <w:ind w:left="5245" w:firstLine="0"/>
      </w:pPr>
    </w:p>
    <w:p w14:paraId="29A85335">
      <w:pPr>
        <w:pStyle w:val="11"/>
        <w:ind w:left="5245" w:firstLine="0"/>
      </w:pPr>
    </w:p>
    <w:p w14:paraId="6A82A9ED">
      <w:pPr>
        <w:pStyle w:val="11"/>
        <w:ind w:left="5245" w:firstLine="0"/>
      </w:pPr>
    </w:p>
    <w:p w14:paraId="471810CC">
      <w:pPr>
        <w:pStyle w:val="11"/>
        <w:ind w:left="5245" w:firstLine="0"/>
      </w:pPr>
    </w:p>
    <w:p w14:paraId="53615619">
      <w:pPr>
        <w:pStyle w:val="11"/>
        <w:ind w:left="5245" w:firstLine="0"/>
      </w:pPr>
    </w:p>
    <w:p w14:paraId="6E44A578">
      <w:pPr>
        <w:pStyle w:val="11"/>
        <w:ind w:left="5245" w:firstLine="0"/>
      </w:pPr>
    </w:p>
    <w:p w14:paraId="066E5B22">
      <w:pPr>
        <w:pStyle w:val="11"/>
        <w:ind w:left="5245" w:firstLine="0"/>
      </w:pPr>
    </w:p>
    <w:p w14:paraId="29855F25">
      <w:pPr>
        <w:pStyle w:val="11"/>
        <w:ind w:left="5245" w:firstLine="0"/>
      </w:pPr>
    </w:p>
    <w:p w14:paraId="7A9D20F7">
      <w:pPr>
        <w:pStyle w:val="11"/>
        <w:ind w:left="5245" w:firstLine="0"/>
      </w:pPr>
    </w:p>
    <w:p w14:paraId="307BFC3E">
      <w:pPr>
        <w:pStyle w:val="11"/>
        <w:ind w:left="5245" w:firstLine="0"/>
      </w:pPr>
    </w:p>
    <w:p w14:paraId="765472CA">
      <w:pPr>
        <w:pStyle w:val="11"/>
        <w:ind w:left="5245" w:firstLine="0"/>
      </w:pPr>
    </w:p>
    <w:p w14:paraId="4CD9E468">
      <w:pPr>
        <w:pStyle w:val="11"/>
        <w:ind w:firstLine="0"/>
      </w:pPr>
    </w:p>
    <w:p w14:paraId="2DFE6B5E">
      <w:pPr>
        <w:pStyle w:val="11"/>
        <w:ind w:firstLine="0"/>
      </w:pPr>
    </w:p>
    <w:p w14:paraId="78860881">
      <w:pPr>
        <w:pStyle w:val="11"/>
        <w:ind w:left="5245" w:firstLine="0"/>
        <w:rPr>
          <w:sz w:val="24"/>
          <w:szCs w:val="24"/>
        </w:rPr>
      </w:pPr>
      <w:r>
        <w:rPr>
          <w:sz w:val="24"/>
          <w:szCs w:val="24"/>
        </w:rPr>
        <w:t xml:space="preserve">          УТВЕРЖДЕН</w:t>
      </w:r>
    </w:p>
    <w:p w14:paraId="588216AA">
      <w:pPr>
        <w:pStyle w:val="11"/>
        <w:ind w:left="5245" w:firstLine="0"/>
        <w:rPr>
          <w:sz w:val="24"/>
          <w:szCs w:val="24"/>
        </w:rPr>
      </w:pPr>
      <w:r>
        <w:rPr>
          <w:sz w:val="24"/>
          <w:szCs w:val="24"/>
        </w:rPr>
        <w:t xml:space="preserve">          постановлением администрации              </w:t>
      </w:r>
    </w:p>
    <w:p w14:paraId="7FCAE751">
      <w:pPr>
        <w:pStyle w:val="11"/>
        <w:ind w:left="5245" w:firstLine="0"/>
        <w:rPr>
          <w:sz w:val="24"/>
          <w:szCs w:val="24"/>
        </w:rPr>
      </w:pPr>
      <w:r>
        <w:rPr>
          <w:sz w:val="24"/>
          <w:szCs w:val="24"/>
        </w:rPr>
        <w:t xml:space="preserve">          Нязепетровского муниципального       </w:t>
      </w:r>
    </w:p>
    <w:p w14:paraId="4E4464E8">
      <w:pPr>
        <w:pStyle w:val="11"/>
        <w:ind w:left="5245" w:firstLine="0"/>
        <w:rPr>
          <w:sz w:val="24"/>
          <w:szCs w:val="24"/>
        </w:rPr>
      </w:pPr>
      <w:r>
        <w:rPr>
          <w:sz w:val="24"/>
          <w:szCs w:val="24"/>
        </w:rPr>
        <w:t xml:space="preserve">          округа от 28.10.2026 г. № 1508 </w:t>
      </w:r>
    </w:p>
    <w:p w14:paraId="33BB5960">
      <w:pPr>
        <w:ind w:firstLine="708"/>
        <w:jc w:val="both"/>
        <w:rPr>
          <w:rFonts w:ascii="Times New Roman" w:hAnsi="Times New Roman" w:cs="Times New Roman"/>
        </w:rPr>
      </w:pPr>
    </w:p>
    <w:p w14:paraId="699B0890">
      <w:pPr>
        <w:ind w:firstLine="612"/>
        <w:jc w:val="center"/>
        <w:rPr>
          <w:rFonts w:ascii="Times New Roman" w:hAnsi="Times New Roman" w:cs="Times New Roman"/>
          <w:b/>
        </w:rPr>
      </w:pPr>
    </w:p>
    <w:p w14:paraId="4568A194">
      <w:pPr>
        <w:ind w:firstLine="61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Порядок 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информирования лиц, принимающих (принимавших) участие в специальной военной операции, и других категорий лиц о предоставлении меры поддержки по зачислению (в том числе при переводе из одной муниципальной организации, осуществляющей образовательную деятельность, в другую) в первоочередном порядке детей в наиболее приближенные к месту жительства семьи муниципальные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дня, расположенных на территории Нязепетровского муниципального округа</w:t>
      </w:r>
    </w:p>
    <w:p w14:paraId="2ADE5229">
      <w:pPr>
        <w:ind w:firstLine="612"/>
        <w:jc w:val="center"/>
        <w:rPr>
          <w:rFonts w:ascii="Times New Roman" w:hAnsi="Times New Roman" w:cs="Times New Roman"/>
          <w:b/>
        </w:rPr>
      </w:pPr>
    </w:p>
    <w:p w14:paraId="01C59993">
      <w:pPr>
        <w:ind w:firstLine="709"/>
        <w:jc w:val="both"/>
        <w:rPr>
          <w:rFonts w:ascii="Times New Roman" w:hAnsi="Times New Roman" w:cs="Times New Roman"/>
        </w:rPr>
      </w:pPr>
      <w:bookmarkStart w:id="8" w:name="sub_1010"/>
      <w:r>
        <w:rPr>
          <w:rFonts w:ascii="Times New Roman" w:hAnsi="Times New Roman" w:cs="Times New Roman"/>
        </w:rPr>
        <w:t xml:space="preserve">1. Настоящий порядок информирования лиц, принимающих (принимавших) участие в специальной военной операции, и других категорий лиц о предоставлении меры поддержки по зачислению (в том числе при переводе из одной муниципальной организации, осуществляющей образовательную деятельность, в другую) в первоочередном порядке детей в наиболее приближенные к месту жительства семьи муниципальные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дня, расположенных на территории Нязепетровского муниципального округа (далее именуется - Порядок, образовательные организации) разработан в соответствии с </w:t>
      </w:r>
      <w:r>
        <w:fldChar w:fldCharType="begin"/>
      </w:r>
      <w:r>
        <w:instrText xml:space="preserve"> HYPERLINK "https://internet.garant.ru/document/redirect/414749881/0" </w:instrText>
      </w:r>
      <w:r>
        <w:fldChar w:fldCharType="separate"/>
      </w:r>
      <w:r>
        <w:rPr>
          <w:rStyle w:val="23"/>
          <w:rFonts w:ascii="Times New Roman" w:hAnsi="Times New Roman" w:eastAsia="Arial"/>
          <w:color w:val="000000" w:themeColor="text1"/>
        </w:rPr>
        <w:t>Постановлени</w:t>
      </w:r>
      <w:r>
        <w:rPr>
          <w:rStyle w:val="23"/>
          <w:rFonts w:ascii="Times New Roman" w:hAnsi="Times New Roman" w:eastAsia="Arial"/>
          <w:color w:val="000000" w:themeColor="text1"/>
        </w:rPr>
        <w:fldChar w:fldCharType="end"/>
      </w:r>
      <w:r>
        <w:rPr>
          <w:rFonts w:ascii="Times New Roman" w:hAnsi="Times New Roman" w:cs="Times New Roman"/>
          <w:color w:val="000000" w:themeColor="text1"/>
        </w:rPr>
        <w:t>ем</w:t>
      </w:r>
      <w:r>
        <w:rPr>
          <w:rFonts w:ascii="Times New Roman" w:hAnsi="Times New Roman" w:cs="Times New Roman"/>
        </w:rPr>
        <w:t xml:space="preserve"> Губернатора Челябинской области от 12.08.2026 № 265 «О мерах поддержки лиц, принимающих (принимавших) участие в специальной военной операции, и других категорий лиц в Челябинской области».</w:t>
      </w:r>
    </w:p>
    <w:bookmarkEnd w:id="8"/>
    <w:p w14:paraId="1B020BED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Понятия, используемые в настоящем порядке, применяются в значениях, определенных </w:t>
      </w:r>
      <w:r>
        <w:fldChar w:fldCharType="begin"/>
      </w:r>
      <w:r>
        <w:instrText xml:space="preserve"> HYPERLINK "https://internet.garant.ru/document/redirect/414749881/0" </w:instrText>
      </w:r>
      <w:r>
        <w:fldChar w:fldCharType="separate"/>
      </w:r>
      <w:r>
        <w:rPr>
          <w:rStyle w:val="23"/>
          <w:rFonts w:ascii="Times New Roman" w:hAnsi="Times New Roman" w:eastAsia="Arial"/>
          <w:color w:val="000000" w:themeColor="text1"/>
        </w:rPr>
        <w:t>Постановлени</w:t>
      </w:r>
      <w:r>
        <w:rPr>
          <w:rStyle w:val="23"/>
          <w:rFonts w:ascii="Times New Roman" w:hAnsi="Times New Roman" w:eastAsia="Arial"/>
          <w:color w:val="000000" w:themeColor="text1"/>
        </w:rPr>
        <w:fldChar w:fldCharType="end"/>
      </w:r>
      <w:r>
        <w:rPr>
          <w:rFonts w:ascii="Times New Roman" w:hAnsi="Times New Roman" w:cs="Times New Roman"/>
          <w:color w:val="000000" w:themeColor="text1"/>
        </w:rPr>
        <w:t>ем</w:t>
      </w:r>
      <w:r>
        <w:rPr>
          <w:rFonts w:ascii="Times New Roman" w:hAnsi="Times New Roman" w:cs="Times New Roman"/>
        </w:rPr>
        <w:t xml:space="preserve"> Губернатора Челябинской области от 12.08.2026 № 265 «О мерах поддержки лиц, принимающих (принимавших) участие в специальной военной операции, и других категорий лиц в Челябинской области» (далее именуется - </w:t>
      </w:r>
      <w:r>
        <w:fldChar w:fldCharType="begin"/>
      </w:r>
      <w:r>
        <w:instrText xml:space="preserve"> HYPERLINK "https://internet.garant.ru/document/redirect/414749881/0" </w:instrText>
      </w:r>
      <w:r>
        <w:fldChar w:fldCharType="separate"/>
      </w:r>
      <w:r>
        <w:rPr>
          <w:rStyle w:val="23"/>
          <w:rFonts w:ascii="Times New Roman" w:hAnsi="Times New Roman" w:eastAsia="Arial"/>
          <w:color w:val="000000" w:themeColor="text1"/>
        </w:rPr>
        <w:t>Постановлени</w:t>
      </w:r>
      <w:r>
        <w:rPr>
          <w:rStyle w:val="23"/>
          <w:rFonts w:ascii="Times New Roman" w:hAnsi="Times New Roman" w:eastAsia="Arial"/>
          <w:color w:val="000000" w:themeColor="text1"/>
        </w:rPr>
        <w:fldChar w:fldCharType="end"/>
      </w:r>
      <w:r>
        <w:rPr>
          <w:rFonts w:ascii="Times New Roman" w:hAnsi="Times New Roman" w:cs="Times New Roman"/>
          <w:color w:val="000000" w:themeColor="text1"/>
        </w:rPr>
        <w:t>е</w:t>
      </w:r>
      <w:r>
        <w:rPr>
          <w:rFonts w:ascii="Times New Roman" w:hAnsi="Times New Roman" w:cs="Times New Roman"/>
        </w:rPr>
        <w:t xml:space="preserve"> Губернатора Челябинской области).</w:t>
      </w:r>
    </w:p>
    <w:p w14:paraId="29DA891A">
      <w:pPr>
        <w:ind w:firstLine="708"/>
        <w:jc w:val="both"/>
        <w:rPr>
          <w:rFonts w:ascii="Times New Roman" w:hAnsi="Times New Roman" w:cs="Times New Roman"/>
        </w:rPr>
      </w:pPr>
      <w:bookmarkStart w:id="9" w:name="sub_1011"/>
      <w:r>
        <w:rPr>
          <w:rFonts w:ascii="Times New Roman" w:hAnsi="Times New Roman" w:cs="Times New Roman"/>
        </w:rPr>
        <w:t xml:space="preserve">2. Информация о </w:t>
      </w:r>
      <w:r>
        <w:rPr>
          <w:rFonts w:ascii="Times New Roman" w:hAnsi="Times New Roman" w:cs="Times New Roman"/>
          <w:b/>
        </w:rPr>
        <w:t>предоставлении меры поддержки по зачислению</w:t>
      </w:r>
      <w:r>
        <w:rPr>
          <w:rFonts w:ascii="Times New Roman" w:hAnsi="Times New Roman" w:cs="Times New Roman"/>
        </w:rPr>
        <w:t xml:space="preserve"> (в том числе при переводе из одной муниципальной организации, осуществляющей образовательную деятельность, в другую) </w:t>
      </w:r>
      <w:r>
        <w:rPr>
          <w:rFonts w:ascii="Times New Roman" w:hAnsi="Times New Roman" w:cs="Times New Roman"/>
          <w:b/>
        </w:rPr>
        <w:t>в первоочередном порядке</w:t>
      </w:r>
      <w:r>
        <w:rPr>
          <w:rFonts w:ascii="Times New Roman" w:hAnsi="Times New Roman" w:cs="Times New Roman"/>
        </w:rPr>
        <w:t xml:space="preserve"> детей в наиболее приближенные к месту жительства семьи муниципальные образовательные организации, осуществляющие образовательную деятельность </w:t>
      </w:r>
      <w:r>
        <w:rPr>
          <w:rFonts w:ascii="Times New Roman" w:hAnsi="Times New Roman" w:cs="Times New Roman"/>
          <w:b/>
        </w:rPr>
        <w:t>по образовательным программам дошкольного, начального общего, основного</w:t>
      </w:r>
      <w:r>
        <w:rPr>
          <w:rFonts w:ascii="Times New Roman" w:hAnsi="Times New Roman" w:cs="Times New Roman"/>
        </w:rPr>
        <w:t xml:space="preserve"> общего и </w:t>
      </w:r>
      <w:r>
        <w:rPr>
          <w:rFonts w:ascii="Times New Roman" w:hAnsi="Times New Roman" w:cs="Times New Roman"/>
          <w:b/>
        </w:rPr>
        <w:t>среднего общего образования</w:t>
      </w:r>
      <w:r>
        <w:rPr>
          <w:rFonts w:ascii="Times New Roman" w:hAnsi="Times New Roman" w:cs="Times New Roman"/>
        </w:rPr>
        <w:t xml:space="preserve">, в том числе </w:t>
      </w:r>
      <w:r>
        <w:rPr>
          <w:rFonts w:ascii="Times New Roman" w:hAnsi="Times New Roman" w:cs="Times New Roman"/>
          <w:b/>
        </w:rPr>
        <w:t>в группы продленного дня</w:t>
      </w:r>
      <w:r>
        <w:rPr>
          <w:rFonts w:ascii="Times New Roman" w:hAnsi="Times New Roman" w:cs="Times New Roman"/>
        </w:rPr>
        <w:t>, расположенных на территории Нязепетровского муниципального округа доводится до сведения заинтересованных лиц посредством ее размещения:</w:t>
      </w:r>
    </w:p>
    <w:bookmarkEnd w:id="9"/>
    <w:p w14:paraId="7C62B9E3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официальных сайтах образовательных организаций в информационно-телекоммуникационной сети "Интернет";</w:t>
      </w:r>
    </w:p>
    <w:p w14:paraId="3FF7E34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средствах массовой информации;</w:t>
      </w:r>
    </w:p>
    <w:p w14:paraId="0152697B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специально оборудованных информационных стендах, размещаемых в доступных для посетителей образовательных организаций местах.</w:t>
      </w:r>
    </w:p>
    <w:p w14:paraId="5927584D">
      <w:pPr>
        <w:ind w:firstLine="708"/>
        <w:jc w:val="both"/>
        <w:rPr>
          <w:rFonts w:ascii="Times New Roman" w:hAnsi="Times New Roman" w:cs="Times New Roman"/>
        </w:rPr>
      </w:pPr>
    </w:p>
    <w:p w14:paraId="3FB76BE2">
      <w:pPr>
        <w:ind w:firstLine="708"/>
        <w:jc w:val="both"/>
        <w:rPr>
          <w:rFonts w:ascii="Times New Roman" w:hAnsi="Times New Roman" w:cs="Times New Roman"/>
        </w:rPr>
      </w:pPr>
    </w:p>
    <w:p w14:paraId="0520428E">
      <w:pPr>
        <w:ind w:firstLine="708"/>
        <w:jc w:val="both"/>
        <w:rPr>
          <w:rFonts w:ascii="Times New Roman" w:hAnsi="Times New Roman" w:cs="Times New Roman"/>
        </w:rPr>
      </w:pPr>
    </w:p>
    <w:p w14:paraId="2F5751F7">
      <w:pPr>
        <w:ind w:firstLine="708"/>
        <w:jc w:val="both"/>
        <w:rPr>
          <w:rFonts w:ascii="Times New Roman" w:hAnsi="Times New Roman" w:cs="Times New Roman"/>
        </w:rPr>
      </w:pPr>
    </w:p>
    <w:p w14:paraId="599FB5D7">
      <w:pPr>
        <w:ind w:firstLine="708"/>
        <w:jc w:val="both"/>
        <w:rPr>
          <w:rFonts w:ascii="Times New Roman" w:hAnsi="Times New Roman" w:cs="Times New Roman"/>
        </w:rPr>
      </w:pPr>
    </w:p>
    <w:p w14:paraId="446A42BF">
      <w:pPr>
        <w:ind w:firstLine="708"/>
        <w:jc w:val="both"/>
        <w:rPr>
          <w:rFonts w:ascii="Times New Roman" w:hAnsi="Times New Roman" w:cs="Times New Roman"/>
        </w:rPr>
      </w:pPr>
    </w:p>
    <w:p w14:paraId="4A60C418">
      <w:pPr>
        <w:pStyle w:val="11"/>
        <w:ind w:left="5245" w:firstLine="0"/>
        <w:rPr>
          <w:sz w:val="24"/>
          <w:szCs w:val="24"/>
        </w:rPr>
      </w:pPr>
      <w:r>
        <w:rPr>
          <w:sz w:val="24"/>
          <w:szCs w:val="24"/>
        </w:rPr>
        <w:t xml:space="preserve">          УТВЕРЖДЕН</w:t>
      </w:r>
    </w:p>
    <w:p w14:paraId="16F28E97">
      <w:pPr>
        <w:pStyle w:val="11"/>
        <w:ind w:left="5245" w:firstLine="0"/>
        <w:rPr>
          <w:sz w:val="24"/>
          <w:szCs w:val="24"/>
        </w:rPr>
      </w:pPr>
      <w:r>
        <w:rPr>
          <w:sz w:val="24"/>
          <w:szCs w:val="24"/>
        </w:rPr>
        <w:t xml:space="preserve">          постановлением администрации              </w:t>
      </w:r>
    </w:p>
    <w:p w14:paraId="72FE2FF0">
      <w:pPr>
        <w:pStyle w:val="11"/>
        <w:ind w:left="5245" w:firstLine="0"/>
        <w:rPr>
          <w:sz w:val="24"/>
          <w:szCs w:val="24"/>
        </w:rPr>
      </w:pPr>
      <w:r>
        <w:rPr>
          <w:sz w:val="24"/>
          <w:szCs w:val="24"/>
        </w:rPr>
        <w:t xml:space="preserve">          Нязепетровского муниципального       </w:t>
      </w:r>
    </w:p>
    <w:p w14:paraId="247121C9">
      <w:pPr>
        <w:pStyle w:val="11"/>
        <w:ind w:left="5245" w:firstLine="0"/>
        <w:rPr>
          <w:sz w:val="24"/>
          <w:szCs w:val="24"/>
        </w:rPr>
      </w:pPr>
      <w:r>
        <w:rPr>
          <w:sz w:val="24"/>
          <w:szCs w:val="24"/>
        </w:rPr>
        <w:t xml:space="preserve">          округа от 28.10.2026г. № 1508</w:t>
      </w:r>
    </w:p>
    <w:p w14:paraId="3B8A7AA3">
      <w:pPr>
        <w:pStyle w:val="11"/>
        <w:ind w:left="5245" w:firstLine="0"/>
        <w:rPr>
          <w:sz w:val="24"/>
          <w:szCs w:val="24"/>
        </w:rPr>
      </w:pPr>
    </w:p>
    <w:p w14:paraId="38C05900">
      <w:pPr>
        <w:pStyle w:val="11"/>
        <w:ind w:left="5245" w:firstLine="0"/>
        <w:rPr>
          <w:sz w:val="24"/>
          <w:szCs w:val="24"/>
        </w:rPr>
      </w:pPr>
    </w:p>
    <w:p w14:paraId="2CBFE870">
      <w:pPr>
        <w:pStyle w:val="11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Порядок </w:t>
      </w:r>
      <w:r>
        <w:rPr>
          <w:b/>
          <w:sz w:val="24"/>
          <w:szCs w:val="24"/>
        </w:rPr>
        <w:br w:type="textWrapping"/>
      </w:r>
      <w:r>
        <w:rPr>
          <w:b/>
          <w:sz w:val="24"/>
          <w:szCs w:val="24"/>
        </w:rPr>
        <w:t>учета меры поддержки лицам, принимающих (принимавших) участие в специальной военной операции, и других категорий лиц по зачислению (в том числе при переводе из одной муниципальной организации, осуществляющей образовательную деятельность, в другую) в первоочередном порядке детей в наиболее приближенные к месту жительства семьи муниципальные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расположенных на территории Нязепетровского муниципального округа</w:t>
      </w:r>
    </w:p>
    <w:p w14:paraId="7537617E">
      <w:pPr>
        <w:ind w:firstLine="612"/>
        <w:jc w:val="both"/>
        <w:rPr>
          <w:rFonts w:ascii="Times New Roman" w:hAnsi="Times New Roman" w:cs="Times New Roman"/>
          <w:b/>
        </w:rPr>
      </w:pPr>
    </w:p>
    <w:p w14:paraId="5E92B0C0">
      <w:pPr>
        <w:ind w:firstLine="612"/>
        <w:jc w:val="both"/>
        <w:rPr>
          <w:rFonts w:ascii="Times New Roman" w:hAnsi="Times New Roman" w:cs="Times New Roman"/>
          <w:b/>
        </w:rPr>
      </w:pPr>
    </w:p>
    <w:p w14:paraId="73B6076D">
      <w:pPr>
        <w:ind w:firstLine="709"/>
        <w:jc w:val="both"/>
        <w:rPr>
          <w:rFonts w:ascii="Times New Roman" w:hAnsi="Times New Roman" w:cs="Times New Roman"/>
        </w:rPr>
      </w:pPr>
      <w:bookmarkStart w:id="10" w:name="sub_1013"/>
      <w:r>
        <w:rPr>
          <w:rFonts w:ascii="Times New Roman" w:hAnsi="Times New Roman" w:cs="Times New Roman"/>
        </w:rPr>
        <w:t xml:space="preserve">1. Настоящий порядок учета меры поддержки лицам, принимающих (принимавших) участие в специальной военной операции, и других категорий лиц по зачислению (в том числе при переводе из одной муниципальной организации, осуществляющей образовательную деятельность, в другую) в первоочередном порядке детей в наиболее приближенные к месту жительства семьи муниципальные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дня, расположенных на территории Нязепетровского муниципального округа (далее именуется - Порядок, образовательные организации) разработан в соответствии с </w:t>
      </w:r>
      <w:r>
        <w:fldChar w:fldCharType="begin"/>
      </w:r>
      <w:r>
        <w:instrText xml:space="preserve"> HYPERLINK "https://internet.garant.ru/document/redirect/414749881/0" </w:instrText>
      </w:r>
      <w:r>
        <w:fldChar w:fldCharType="separate"/>
      </w:r>
      <w:r>
        <w:rPr>
          <w:rStyle w:val="23"/>
          <w:rFonts w:ascii="Times New Roman" w:hAnsi="Times New Roman" w:eastAsia="Arial"/>
          <w:color w:val="000000" w:themeColor="text1"/>
        </w:rPr>
        <w:t>Постановлени</w:t>
      </w:r>
      <w:r>
        <w:rPr>
          <w:rStyle w:val="23"/>
          <w:rFonts w:ascii="Times New Roman" w:hAnsi="Times New Roman" w:eastAsia="Arial"/>
          <w:color w:val="000000" w:themeColor="text1"/>
        </w:rPr>
        <w:fldChar w:fldCharType="end"/>
      </w:r>
      <w:r>
        <w:rPr>
          <w:rFonts w:ascii="Times New Roman" w:hAnsi="Times New Roman" w:cs="Times New Roman"/>
          <w:color w:val="000000" w:themeColor="text1"/>
        </w:rPr>
        <w:t>ем</w:t>
      </w:r>
      <w:r>
        <w:rPr>
          <w:rFonts w:ascii="Times New Roman" w:hAnsi="Times New Roman" w:cs="Times New Roman"/>
        </w:rPr>
        <w:t xml:space="preserve"> Губернатора Челябинской области от 12.08.2026 № 265 «О мерах поддержки лиц, принимающих (принимавших) участие в специальной военной операции, и других категорий лиц в Челябинской области».</w:t>
      </w:r>
    </w:p>
    <w:bookmarkEnd w:id="10"/>
    <w:p w14:paraId="6F40CF4D">
      <w:pPr>
        <w:ind w:firstLine="709"/>
        <w:jc w:val="both"/>
        <w:rPr>
          <w:rFonts w:ascii="Times New Roman" w:hAnsi="Times New Roman" w:cs="Times New Roman"/>
        </w:rPr>
      </w:pPr>
      <w:bookmarkStart w:id="11" w:name="sub_1014"/>
      <w:r>
        <w:rPr>
          <w:rFonts w:ascii="Times New Roman" w:hAnsi="Times New Roman" w:cs="Times New Roman"/>
        </w:rPr>
        <w:t xml:space="preserve">Понятия, используемые в настоящем порядке, применяются в значениях, определенных </w:t>
      </w:r>
      <w:r>
        <w:fldChar w:fldCharType="begin"/>
      </w:r>
      <w:r>
        <w:instrText xml:space="preserve"> HYPERLINK "https://internet.garant.ru/document/redirect/414749881/0" </w:instrText>
      </w:r>
      <w:r>
        <w:fldChar w:fldCharType="separate"/>
      </w:r>
      <w:r>
        <w:rPr>
          <w:rStyle w:val="23"/>
          <w:rFonts w:ascii="Times New Roman" w:hAnsi="Times New Roman" w:eastAsia="Arial"/>
          <w:color w:val="000000" w:themeColor="text1"/>
        </w:rPr>
        <w:t>Постановлени</w:t>
      </w:r>
      <w:r>
        <w:rPr>
          <w:rStyle w:val="23"/>
          <w:rFonts w:ascii="Times New Roman" w:hAnsi="Times New Roman" w:eastAsia="Arial"/>
          <w:color w:val="000000" w:themeColor="text1"/>
        </w:rPr>
        <w:fldChar w:fldCharType="end"/>
      </w:r>
      <w:r>
        <w:rPr>
          <w:rFonts w:ascii="Times New Roman" w:hAnsi="Times New Roman" w:cs="Times New Roman"/>
          <w:color w:val="000000" w:themeColor="text1"/>
        </w:rPr>
        <w:t>ем</w:t>
      </w:r>
      <w:r>
        <w:rPr>
          <w:rFonts w:ascii="Times New Roman" w:hAnsi="Times New Roman" w:cs="Times New Roman"/>
        </w:rPr>
        <w:t xml:space="preserve"> Губернатора Челябинской области от 12.08.2026 № 265 «О мерах поддержки лиц, принимающих (принимавших) участие в специальной военной операции, и других категорий лиц в Челябинской области» (далее именуется - </w:t>
      </w:r>
      <w:r>
        <w:fldChar w:fldCharType="begin"/>
      </w:r>
      <w:r>
        <w:instrText xml:space="preserve"> HYPERLINK "https://internet.garant.ru/document/redirect/414749881/0" </w:instrText>
      </w:r>
      <w:r>
        <w:fldChar w:fldCharType="separate"/>
      </w:r>
      <w:r>
        <w:rPr>
          <w:rStyle w:val="23"/>
          <w:rFonts w:ascii="Times New Roman" w:hAnsi="Times New Roman" w:eastAsia="Arial"/>
          <w:color w:val="000000" w:themeColor="text1"/>
        </w:rPr>
        <w:t>Постановлени</w:t>
      </w:r>
      <w:r>
        <w:rPr>
          <w:rStyle w:val="23"/>
          <w:rFonts w:ascii="Times New Roman" w:hAnsi="Times New Roman" w:eastAsia="Arial"/>
          <w:color w:val="000000" w:themeColor="text1"/>
        </w:rPr>
        <w:fldChar w:fldCharType="end"/>
      </w:r>
      <w:r>
        <w:rPr>
          <w:rFonts w:ascii="Times New Roman" w:hAnsi="Times New Roman" w:cs="Times New Roman"/>
          <w:color w:val="000000" w:themeColor="text1"/>
        </w:rPr>
        <w:t>е</w:t>
      </w:r>
      <w:r>
        <w:rPr>
          <w:rFonts w:ascii="Times New Roman" w:hAnsi="Times New Roman" w:cs="Times New Roman"/>
        </w:rPr>
        <w:t xml:space="preserve"> Губернатора Челябинской области).</w:t>
      </w:r>
    </w:p>
    <w:p w14:paraId="01DDAF9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Ежемесячно с использованием государственных информационных систем органы местного самоуправления предоставляют в Министерство образования и науки Челябинской области </w:t>
      </w:r>
      <w:r>
        <w:fldChar w:fldCharType="begin"/>
      </w:r>
      <w:r>
        <w:instrText xml:space="preserve"> HYPERLINK \l "sub_21" </w:instrText>
      </w:r>
      <w:r>
        <w:fldChar w:fldCharType="separate"/>
      </w:r>
      <w:r>
        <w:rPr>
          <w:rStyle w:val="23"/>
          <w:rFonts w:ascii="Times New Roman" w:hAnsi="Times New Roman"/>
          <w:color w:val="auto"/>
        </w:rPr>
        <w:t>отчетную документацию</w:t>
      </w:r>
      <w:r>
        <w:rPr>
          <w:rStyle w:val="23"/>
          <w:rFonts w:ascii="Times New Roman" w:hAnsi="Times New Roman"/>
          <w:color w:val="auto"/>
        </w:rPr>
        <w:fldChar w:fldCharType="end"/>
      </w:r>
      <w:r>
        <w:rPr>
          <w:rFonts w:ascii="Times New Roman" w:hAnsi="Times New Roman" w:cs="Times New Roman"/>
        </w:rPr>
        <w:t xml:space="preserve"> о количестве мер поддержки предоставленных </w:t>
      </w:r>
      <w:r>
        <w:rPr>
          <w:rFonts w:ascii="Times New Roman" w:hAnsi="Times New Roman" w:eastAsia="Times New Roman" w:cs="Times New Roman"/>
        </w:rPr>
        <w:t>детям, не достигшим возраста 18 лет, в том числе рожденным после гибели (смерти) лиц, указанных в подпунктах 1 - 3 пункта 2 настоящего постановления, и в отношении которых отцовство установлено в соответствии с пунктом 2 статьи 48 Семейного кодекса Российской Федерации; а также лицам, находящимся на иждивении лиц, указанных в подпунктах 1 - 3 пункта 2 настоящего постановления, либо находившимся на иждивении этих лиц на дату их гибели (смерти)</w:t>
      </w:r>
      <w:r>
        <w:rPr>
          <w:rFonts w:ascii="Times New Roman" w:hAnsi="Times New Roman" w:cs="Times New Roman"/>
        </w:rPr>
        <w:t>, по форме, установленной в приложении к настоящему постановлению.</w:t>
      </w:r>
    </w:p>
    <w:bookmarkEnd w:id="11"/>
    <w:p w14:paraId="6F053830">
      <w:pPr>
        <w:ind w:firstLine="612"/>
        <w:jc w:val="both"/>
        <w:rPr>
          <w:rFonts w:ascii="Times New Roman" w:hAnsi="Times New Roman" w:cs="Times New Roman"/>
          <w:b/>
        </w:rPr>
      </w:pPr>
    </w:p>
    <w:p w14:paraId="556472C2">
      <w:pPr>
        <w:pStyle w:val="11"/>
        <w:tabs>
          <w:tab w:val="left" w:pos="298"/>
        </w:tabs>
        <w:ind w:firstLine="0"/>
        <w:jc w:val="both"/>
        <w:rPr>
          <w:sz w:val="24"/>
          <w:szCs w:val="24"/>
        </w:rPr>
      </w:pPr>
    </w:p>
    <w:p w14:paraId="7096C61C">
      <w:pPr>
        <w:pStyle w:val="11"/>
        <w:jc w:val="both"/>
        <w:rPr>
          <w:color w:val="000000" w:themeColor="text1"/>
          <w:sz w:val="24"/>
          <w:szCs w:val="24"/>
        </w:rPr>
      </w:pPr>
    </w:p>
    <w:p w14:paraId="3642B1D2">
      <w:pPr>
        <w:pStyle w:val="11"/>
        <w:ind w:firstLine="0"/>
        <w:jc w:val="both"/>
        <w:rPr>
          <w:color w:val="FF0000"/>
          <w:sz w:val="24"/>
          <w:szCs w:val="24"/>
        </w:rPr>
      </w:pPr>
    </w:p>
    <w:p w14:paraId="3463B5F9">
      <w:pPr>
        <w:pStyle w:val="11"/>
        <w:ind w:firstLine="0"/>
        <w:jc w:val="both"/>
        <w:rPr>
          <w:color w:val="FF0000"/>
          <w:sz w:val="24"/>
          <w:szCs w:val="24"/>
        </w:rPr>
      </w:pPr>
    </w:p>
    <w:p w14:paraId="4494BC69">
      <w:pPr>
        <w:pStyle w:val="11"/>
        <w:ind w:firstLine="0"/>
        <w:jc w:val="both"/>
        <w:rPr>
          <w:color w:val="FF0000"/>
          <w:sz w:val="24"/>
          <w:szCs w:val="24"/>
        </w:rPr>
      </w:pPr>
    </w:p>
    <w:p w14:paraId="78D05B6D">
      <w:pPr>
        <w:pStyle w:val="11"/>
        <w:ind w:firstLine="0"/>
        <w:jc w:val="both"/>
        <w:rPr>
          <w:color w:val="FF0000"/>
          <w:sz w:val="24"/>
          <w:szCs w:val="24"/>
        </w:rPr>
      </w:pPr>
    </w:p>
    <w:p w14:paraId="7CDA65F0">
      <w:pPr>
        <w:pStyle w:val="11"/>
        <w:ind w:firstLine="0"/>
        <w:jc w:val="both"/>
        <w:rPr>
          <w:color w:val="FF0000"/>
          <w:sz w:val="24"/>
          <w:szCs w:val="24"/>
        </w:rPr>
      </w:pPr>
    </w:p>
    <w:p w14:paraId="2BE1208A">
      <w:pPr>
        <w:pStyle w:val="11"/>
        <w:ind w:firstLine="0"/>
        <w:jc w:val="both"/>
        <w:rPr>
          <w:color w:val="FF0000"/>
          <w:sz w:val="24"/>
          <w:szCs w:val="24"/>
        </w:rPr>
      </w:pPr>
    </w:p>
    <w:p w14:paraId="26FE8070">
      <w:pPr>
        <w:pStyle w:val="11"/>
        <w:ind w:firstLine="0"/>
        <w:rPr>
          <w:color w:val="FF0000"/>
          <w:sz w:val="24"/>
          <w:szCs w:val="24"/>
        </w:rPr>
      </w:pPr>
    </w:p>
    <w:p w14:paraId="200C0F12">
      <w:pPr>
        <w:pStyle w:val="11"/>
        <w:ind w:left="5245" w:firstLine="0"/>
        <w:rPr>
          <w:sz w:val="24"/>
          <w:szCs w:val="24"/>
        </w:rPr>
      </w:pPr>
      <w:r>
        <w:rPr>
          <w:rStyle w:val="26"/>
          <w:rFonts w:eastAsia="Arial"/>
          <w:b w:val="0"/>
          <w:bCs/>
          <w:sz w:val="24"/>
          <w:szCs w:val="24"/>
        </w:rPr>
        <w:t xml:space="preserve">                                         Приложение</w:t>
      </w:r>
      <w:r>
        <w:rPr>
          <w:rStyle w:val="26"/>
          <w:rFonts w:eastAsia="Arial"/>
          <w:b w:val="0"/>
          <w:bCs/>
          <w:sz w:val="24"/>
          <w:szCs w:val="24"/>
        </w:rPr>
        <w:br w:type="textWrapping"/>
      </w:r>
      <w:r>
        <w:rPr>
          <w:rStyle w:val="26"/>
          <w:rFonts w:eastAsia="Arial"/>
          <w:b w:val="0"/>
          <w:bCs/>
          <w:sz w:val="24"/>
          <w:szCs w:val="24"/>
        </w:rPr>
        <w:t xml:space="preserve">                                          к Порядку</w:t>
      </w:r>
    </w:p>
    <w:p w14:paraId="7D592130">
      <w:pPr>
        <w:pStyle w:val="2"/>
        <w:rPr>
          <w:b w:val="0"/>
        </w:rPr>
      </w:pPr>
      <w:r>
        <w:rPr>
          <w:rFonts w:ascii="Times New Roman" w:hAnsi="Times New Roman" w:cs="Times New Roman"/>
          <w:b w:val="0"/>
        </w:rPr>
        <w:t>Форма сбора отчетной документации о мерах поддержки лицам, названным в подпунктах "б" и "е" пункта 2 Указа Президента Российской Федерации</w:t>
      </w:r>
      <w:r>
        <w:rPr>
          <w:b w:val="0"/>
        </w:rPr>
        <w:t xml:space="preserve"> от 15.05.2026  г.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</w:p>
    <w:p w14:paraId="7CE012A8">
      <w:pPr>
        <w:pStyle w:val="2"/>
        <w:rPr>
          <w:rFonts w:ascii="Times New Roman" w:hAnsi="Times New Roman" w:cs="Times New Roman"/>
          <w:b w:val="0"/>
        </w:rPr>
      </w:pPr>
      <w:r>
        <w:rPr>
          <w:rFonts w:ascii="Times New Roman" w:hAnsi="Times New Roman" w:eastAsia="Times New Roman" w:cs="Times New Roman"/>
          <w:b w:val="0"/>
        </w:rPr>
        <w:t>(дети, не достигшие возраста 18 лет, в том числе рожденные после гибели (смерти) лиц, указанных в подпунктах 1 - 3 пункта 2 настоящего постановления, и в отношении которых отцовство установлено в соответствии с пунктом 2 статьи 48 Семейного кодекса Российской Федерации; а также лица, находящиеся на иждивении лиц, указанных в подпунктах 1 - 3 пункта 2 настоящего постановления, либо находившихся на иждивении этих лиц на дату их гибели (смерти))</w:t>
      </w:r>
    </w:p>
    <w:p w14:paraId="4853086A">
      <w:pPr>
        <w:ind w:firstLine="698"/>
        <w:jc w:val="right"/>
        <w:rPr>
          <w:rFonts w:ascii="Times New Roman" w:hAnsi="Times New Roman" w:cs="Times New Roman"/>
          <w:b/>
        </w:rPr>
      </w:pPr>
      <w:bookmarkStart w:id="12" w:name="sub_1016"/>
      <w:r>
        <w:rPr>
          <w:rStyle w:val="26"/>
          <w:rFonts w:ascii="Times New Roman" w:hAnsi="Times New Roman" w:cs="Times New Roman"/>
          <w:b w:val="0"/>
          <w:bCs/>
        </w:rPr>
        <w:t>Форма 1</w:t>
      </w:r>
      <w:bookmarkEnd w:id="12"/>
    </w:p>
    <w:tbl>
      <w:tblPr>
        <w:tblStyle w:val="4"/>
        <w:tblW w:w="992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560"/>
        <w:gridCol w:w="1559"/>
        <w:gridCol w:w="2126"/>
        <w:gridCol w:w="2268"/>
        <w:gridCol w:w="1843"/>
      </w:tblGrid>
      <w:tr w14:paraId="01D4D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bottom w:val="nil"/>
              <w:right w:val="nil"/>
            </w:tcBorders>
          </w:tcPr>
          <w:p w14:paraId="5EE0B34F">
            <w:pPr>
              <w:pStyle w:val="27"/>
              <w:jc w:val="center"/>
            </w:pPr>
            <w:r>
              <w:t>№</w:t>
            </w:r>
          </w:p>
          <w:p w14:paraId="0C7CDCC8">
            <w:pPr>
              <w:pStyle w:val="27"/>
              <w:jc w:val="center"/>
            </w:pPr>
            <w:r>
              <w:t>п/п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473EBF86">
            <w:pPr>
              <w:pStyle w:val="27"/>
              <w:jc w:val="center"/>
            </w:pPr>
            <w:r>
              <w:t>Муниципальное образование Челябинской области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617479CD">
            <w:pPr>
              <w:pStyle w:val="27"/>
              <w:jc w:val="center"/>
            </w:pPr>
            <w:r>
              <w:t>Муниципальная дошкольная образовательная организация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4695F0E6">
            <w:pPr>
              <w:pStyle w:val="27"/>
              <w:jc w:val="center"/>
            </w:pPr>
            <w:r>
              <w:t>Количество зачисленных / переведенных в дошкольную образовательную организацию в первоочередном порядке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6C4E03D2">
            <w:pPr>
              <w:pStyle w:val="27"/>
              <w:jc w:val="center"/>
            </w:pPr>
            <w:r>
              <w:t>Количество отказов</w:t>
            </w:r>
          </w:p>
          <w:p w14:paraId="27314E8E">
            <w:pPr>
              <w:pStyle w:val="27"/>
              <w:jc w:val="center"/>
            </w:pPr>
            <w:r>
              <w:t>о зачислении / переводе в дошкольную образовательную организацию в первоочередном порядке по причине</w:t>
            </w:r>
          </w:p>
          <w:p w14:paraId="5080417F">
            <w:pPr>
              <w:pStyle w:val="27"/>
              <w:jc w:val="center"/>
            </w:pPr>
            <w:r>
              <w:t>отсутствия мест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14:paraId="5CC141F6">
            <w:pPr>
              <w:pStyle w:val="27"/>
              <w:jc w:val="center"/>
            </w:pPr>
            <w:r>
              <w:t>Меры, принятые органом местного самоуправления муниципального образования в случае отказа</w:t>
            </w:r>
          </w:p>
        </w:tc>
      </w:tr>
      <w:tr w14:paraId="648F1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bottom w:val="nil"/>
              <w:right w:val="nil"/>
            </w:tcBorders>
          </w:tcPr>
          <w:p w14:paraId="42123860">
            <w:pPr>
              <w:pStyle w:val="27"/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5494A6F6">
            <w:pPr>
              <w:pStyle w:val="27"/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05C3570F">
            <w:pPr>
              <w:pStyle w:val="27"/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2D47DFEB">
            <w:pPr>
              <w:pStyle w:val="27"/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4B67A44E">
            <w:pPr>
              <w:pStyle w:val="27"/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14:paraId="15D6182C">
            <w:pPr>
              <w:pStyle w:val="27"/>
            </w:pPr>
          </w:p>
        </w:tc>
      </w:tr>
      <w:tr w14:paraId="50DD9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bottom w:val="single" w:color="auto" w:sz="4" w:space="0"/>
              <w:right w:val="nil"/>
            </w:tcBorders>
          </w:tcPr>
          <w:p w14:paraId="1E059DC4">
            <w:pPr>
              <w:pStyle w:val="27"/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17E629B0">
            <w:pPr>
              <w:pStyle w:val="27"/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3E4C92B3">
            <w:pPr>
              <w:pStyle w:val="27"/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1B757AB0">
            <w:pPr>
              <w:pStyle w:val="27"/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27040BFB">
            <w:pPr>
              <w:pStyle w:val="27"/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B81C2B1">
            <w:pPr>
              <w:pStyle w:val="27"/>
            </w:pPr>
          </w:p>
        </w:tc>
      </w:tr>
    </w:tbl>
    <w:p w14:paraId="565CB608">
      <w:pPr>
        <w:pStyle w:val="11"/>
        <w:ind w:firstLine="0"/>
        <w:jc w:val="both"/>
        <w:rPr>
          <w:color w:val="FF0000"/>
          <w:sz w:val="24"/>
          <w:szCs w:val="24"/>
        </w:rPr>
      </w:pPr>
    </w:p>
    <w:p w14:paraId="33AD4FF4">
      <w:pPr>
        <w:ind w:firstLine="698"/>
        <w:jc w:val="right"/>
        <w:rPr>
          <w:rFonts w:ascii="Times New Roman" w:hAnsi="Times New Roman" w:cs="Times New Roman"/>
          <w:b/>
        </w:rPr>
      </w:pPr>
      <w:r>
        <w:rPr>
          <w:rStyle w:val="26"/>
          <w:rFonts w:ascii="Times New Roman" w:hAnsi="Times New Roman" w:cs="Times New Roman"/>
          <w:b w:val="0"/>
          <w:bCs/>
        </w:rPr>
        <w:t>Форма 2</w:t>
      </w:r>
    </w:p>
    <w:tbl>
      <w:tblPr>
        <w:tblStyle w:val="4"/>
        <w:tblW w:w="992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560"/>
        <w:gridCol w:w="1559"/>
        <w:gridCol w:w="2126"/>
        <w:gridCol w:w="2268"/>
        <w:gridCol w:w="1843"/>
      </w:tblGrid>
      <w:tr w14:paraId="0E165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bottom w:val="nil"/>
              <w:right w:val="nil"/>
            </w:tcBorders>
          </w:tcPr>
          <w:p w14:paraId="43000F2A">
            <w:pPr>
              <w:pStyle w:val="27"/>
              <w:jc w:val="center"/>
            </w:pPr>
            <w:r>
              <w:t>№</w:t>
            </w:r>
          </w:p>
          <w:p w14:paraId="6752701B">
            <w:pPr>
              <w:pStyle w:val="27"/>
              <w:jc w:val="center"/>
            </w:pPr>
            <w:r>
              <w:t>п/п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5B165102">
            <w:pPr>
              <w:pStyle w:val="27"/>
              <w:jc w:val="center"/>
            </w:pPr>
            <w:r>
              <w:t>Муниципальное образование Челябинской области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257E4F55">
            <w:pPr>
              <w:pStyle w:val="27"/>
              <w:jc w:val="center"/>
            </w:pPr>
            <w:r>
              <w:t>Муниципальная общеобразовательная организация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1B16C427">
            <w:pPr>
              <w:pStyle w:val="27"/>
              <w:jc w:val="center"/>
            </w:pPr>
            <w:r>
              <w:t>Количество зачисленных /</w:t>
            </w:r>
          </w:p>
          <w:p w14:paraId="53A00299">
            <w:pPr>
              <w:pStyle w:val="27"/>
              <w:jc w:val="center"/>
            </w:pPr>
            <w:r>
              <w:t>переведенных в</w:t>
            </w:r>
          </w:p>
          <w:p w14:paraId="0701224A">
            <w:pPr>
              <w:pStyle w:val="27"/>
              <w:jc w:val="center"/>
            </w:pPr>
            <w:r>
              <w:t>общеобразовательную организацию в первоочередном порядке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6F850918">
            <w:pPr>
              <w:pStyle w:val="27"/>
              <w:jc w:val="center"/>
            </w:pPr>
            <w:r>
              <w:t>Количество отказов</w:t>
            </w:r>
          </w:p>
          <w:p w14:paraId="59B6EB7B">
            <w:pPr>
              <w:pStyle w:val="27"/>
              <w:jc w:val="center"/>
            </w:pPr>
            <w:r>
              <w:t>о зачислении / переводе в общеобразовательную организацию в первоочередном порядке по причине</w:t>
            </w:r>
          </w:p>
          <w:p w14:paraId="50A3EB54">
            <w:pPr>
              <w:pStyle w:val="27"/>
              <w:jc w:val="center"/>
            </w:pPr>
            <w:r>
              <w:t>отсутствия мест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14:paraId="2A66E7DA">
            <w:pPr>
              <w:pStyle w:val="27"/>
              <w:jc w:val="center"/>
            </w:pPr>
            <w:r>
              <w:t>Меры, принятые органом местного самоуправления муниципального образования в случае отказа</w:t>
            </w:r>
          </w:p>
        </w:tc>
      </w:tr>
      <w:tr w14:paraId="3C93F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bottom w:val="nil"/>
              <w:right w:val="nil"/>
            </w:tcBorders>
          </w:tcPr>
          <w:p w14:paraId="734F3AF7">
            <w:pPr>
              <w:pStyle w:val="27"/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733E240F">
            <w:pPr>
              <w:pStyle w:val="27"/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3447DC76">
            <w:pPr>
              <w:pStyle w:val="27"/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378F289D">
            <w:pPr>
              <w:pStyle w:val="27"/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4E9CA9FE">
            <w:pPr>
              <w:pStyle w:val="27"/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14:paraId="729EEB39">
            <w:pPr>
              <w:pStyle w:val="27"/>
            </w:pPr>
          </w:p>
        </w:tc>
      </w:tr>
      <w:tr w14:paraId="4C1D6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bottom w:val="single" w:color="auto" w:sz="4" w:space="0"/>
              <w:right w:val="nil"/>
            </w:tcBorders>
          </w:tcPr>
          <w:p w14:paraId="78E9CCE7">
            <w:pPr>
              <w:pStyle w:val="27"/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6E640916">
            <w:pPr>
              <w:pStyle w:val="27"/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493E07D4">
            <w:pPr>
              <w:pStyle w:val="27"/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3090F50D">
            <w:pPr>
              <w:pStyle w:val="27"/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2461B569">
            <w:pPr>
              <w:pStyle w:val="27"/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E6F05ED">
            <w:pPr>
              <w:pStyle w:val="27"/>
            </w:pPr>
          </w:p>
        </w:tc>
      </w:tr>
    </w:tbl>
    <w:p w14:paraId="2A3E36C9"/>
    <w:p w14:paraId="3614B164">
      <w:pPr>
        <w:ind w:firstLine="698"/>
        <w:jc w:val="right"/>
        <w:rPr>
          <w:rFonts w:ascii="Times New Roman" w:hAnsi="Times New Roman" w:cs="Times New Roman"/>
          <w:b/>
        </w:rPr>
      </w:pPr>
      <w:bookmarkStart w:id="13" w:name="sub_1017"/>
      <w:r>
        <w:rPr>
          <w:rStyle w:val="26"/>
          <w:rFonts w:ascii="Times New Roman" w:hAnsi="Times New Roman" w:cs="Times New Roman"/>
          <w:b w:val="0"/>
          <w:bCs/>
        </w:rPr>
        <w:t>Форма 3</w:t>
      </w:r>
      <w:bookmarkEnd w:id="13"/>
    </w:p>
    <w:tbl>
      <w:tblPr>
        <w:tblStyle w:val="4"/>
        <w:tblW w:w="992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560"/>
        <w:gridCol w:w="1559"/>
        <w:gridCol w:w="2126"/>
        <w:gridCol w:w="2268"/>
        <w:gridCol w:w="1843"/>
      </w:tblGrid>
      <w:tr w14:paraId="3E7E4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c>
          <w:tcPr>
            <w:tcW w:w="567" w:type="dxa"/>
            <w:tcBorders>
              <w:top w:val="single" w:color="auto" w:sz="4" w:space="0"/>
              <w:bottom w:val="nil"/>
              <w:right w:val="nil"/>
            </w:tcBorders>
          </w:tcPr>
          <w:p w14:paraId="568DB1B8">
            <w:pPr>
              <w:pStyle w:val="27"/>
              <w:jc w:val="center"/>
            </w:pPr>
            <w:r>
              <w:t>№</w:t>
            </w:r>
          </w:p>
          <w:p w14:paraId="2166916A">
            <w:pPr>
              <w:pStyle w:val="27"/>
              <w:jc w:val="center"/>
            </w:pPr>
            <w:r>
              <w:t>п/п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768068E4">
            <w:pPr>
              <w:pStyle w:val="27"/>
              <w:jc w:val="center"/>
            </w:pPr>
            <w:r>
              <w:t>Муниципальное образование Челябинской области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6BED1B2A">
            <w:pPr>
              <w:pStyle w:val="27"/>
              <w:jc w:val="center"/>
            </w:pPr>
            <w:r>
              <w:t>Муниципальная общеобразовательная организация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319E0645">
            <w:pPr>
              <w:pStyle w:val="27"/>
              <w:jc w:val="center"/>
            </w:pPr>
            <w:r>
              <w:t>Количество зачисленных в группу продленного дня</w:t>
            </w:r>
          </w:p>
          <w:p w14:paraId="2FBD0C8E">
            <w:pPr>
              <w:pStyle w:val="27"/>
              <w:jc w:val="center"/>
            </w:pPr>
            <w:r>
              <w:t>общеобразовательной организации в первоочередном порядке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0D5B549F">
            <w:pPr>
              <w:pStyle w:val="27"/>
              <w:jc w:val="center"/>
            </w:pPr>
            <w:r>
              <w:t>Количество отказов</w:t>
            </w:r>
          </w:p>
          <w:p w14:paraId="10EA0D6C">
            <w:pPr>
              <w:pStyle w:val="27"/>
              <w:jc w:val="center"/>
            </w:pPr>
            <w:r>
              <w:t>зачислить в группу</w:t>
            </w:r>
          </w:p>
          <w:p w14:paraId="07FFDE7E">
            <w:pPr>
              <w:pStyle w:val="27"/>
              <w:jc w:val="center"/>
            </w:pPr>
            <w:r>
              <w:t>продленного дня</w:t>
            </w:r>
          </w:p>
          <w:p w14:paraId="112C2A40">
            <w:pPr>
              <w:pStyle w:val="27"/>
              <w:jc w:val="center"/>
            </w:pPr>
            <w:r>
              <w:t>общеобразовательной организации в первоочередном порядке по причине</w:t>
            </w:r>
          </w:p>
          <w:p w14:paraId="4F611143">
            <w:pPr>
              <w:pStyle w:val="27"/>
              <w:jc w:val="center"/>
            </w:pPr>
            <w:r>
              <w:t>отсутствия мест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14:paraId="351FCCAC">
            <w:pPr>
              <w:pStyle w:val="27"/>
              <w:jc w:val="center"/>
            </w:pPr>
            <w:r>
              <w:t>Меры, принятые органом местного самоуправления муниципального образования в случае отказа</w:t>
            </w:r>
          </w:p>
        </w:tc>
      </w:tr>
      <w:tr w14:paraId="28D67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bottom w:val="nil"/>
              <w:right w:val="nil"/>
            </w:tcBorders>
          </w:tcPr>
          <w:p w14:paraId="53F28C70">
            <w:pPr>
              <w:pStyle w:val="27"/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29F36960">
            <w:pPr>
              <w:pStyle w:val="27"/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1F78E3CB">
            <w:pPr>
              <w:pStyle w:val="27"/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2C887F02">
            <w:pPr>
              <w:pStyle w:val="27"/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70FA6BBF">
            <w:pPr>
              <w:pStyle w:val="27"/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14:paraId="6878AF56">
            <w:pPr>
              <w:pStyle w:val="27"/>
            </w:pPr>
          </w:p>
        </w:tc>
      </w:tr>
      <w:tr w14:paraId="7DCD3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bottom w:val="single" w:color="auto" w:sz="4" w:space="0"/>
              <w:right w:val="nil"/>
            </w:tcBorders>
          </w:tcPr>
          <w:p w14:paraId="35148E33">
            <w:pPr>
              <w:pStyle w:val="27"/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33A8022">
            <w:pPr>
              <w:pStyle w:val="27"/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76E2528">
            <w:pPr>
              <w:pStyle w:val="27"/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72C2F2EC">
            <w:pPr>
              <w:pStyle w:val="27"/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350BDD74">
            <w:pPr>
              <w:pStyle w:val="27"/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51BB36F">
            <w:pPr>
              <w:pStyle w:val="27"/>
            </w:pPr>
          </w:p>
        </w:tc>
      </w:tr>
    </w:tbl>
    <w:p w14:paraId="287019DF">
      <w:pPr>
        <w:pStyle w:val="11"/>
        <w:ind w:firstLine="0"/>
        <w:jc w:val="both"/>
        <w:rPr>
          <w:color w:val="FF0000"/>
          <w:sz w:val="24"/>
          <w:szCs w:val="24"/>
        </w:rPr>
      </w:pPr>
    </w:p>
    <w:p w14:paraId="17ED4A7E">
      <w:pPr>
        <w:pStyle w:val="11"/>
        <w:ind w:firstLine="0"/>
        <w:jc w:val="both"/>
        <w:rPr>
          <w:color w:val="FF0000"/>
          <w:sz w:val="24"/>
          <w:szCs w:val="24"/>
        </w:rPr>
      </w:pPr>
    </w:p>
    <w:p w14:paraId="281614EC">
      <w:pPr>
        <w:pStyle w:val="11"/>
        <w:ind w:firstLine="0"/>
        <w:jc w:val="both"/>
        <w:rPr>
          <w:color w:val="FF0000"/>
          <w:sz w:val="24"/>
          <w:szCs w:val="24"/>
        </w:rPr>
      </w:pPr>
    </w:p>
    <w:p w14:paraId="7BACDF4E">
      <w:pPr>
        <w:pStyle w:val="11"/>
        <w:ind w:firstLine="0"/>
        <w:jc w:val="both"/>
        <w:rPr>
          <w:color w:val="FF0000"/>
          <w:sz w:val="24"/>
          <w:szCs w:val="24"/>
        </w:rPr>
      </w:pPr>
    </w:p>
    <w:p w14:paraId="1A9B1E5A">
      <w:pPr>
        <w:pStyle w:val="11"/>
        <w:ind w:firstLine="0"/>
        <w:jc w:val="both"/>
        <w:rPr>
          <w:color w:val="FF0000"/>
          <w:sz w:val="24"/>
          <w:szCs w:val="24"/>
        </w:rPr>
      </w:pPr>
    </w:p>
    <w:p w14:paraId="406B796C">
      <w:pPr>
        <w:pStyle w:val="11"/>
        <w:ind w:firstLine="0"/>
        <w:jc w:val="both"/>
        <w:rPr>
          <w:color w:val="FF0000"/>
          <w:sz w:val="24"/>
          <w:szCs w:val="24"/>
        </w:rPr>
      </w:pPr>
    </w:p>
    <w:p w14:paraId="2F0BDD27">
      <w:pPr>
        <w:pStyle w:val="11"/>
        <w:ind w:firstLine="0"/>
        <w:jc w:val="both"/>
        <w:rPr>
          <w:color w:val="FF0000"/>
          <w:sz w:val="24"/>
          <w:szCs w:val="24"/>
        </w:rPr>
      </w:pPr>
    </w:p>
    <w:p w14:paraId="15DE2A7D">
      <w:pPr>
        <w:pStyle w:val="11"/>
        <w:ind w:firstLine="0"/>
        <w:jc w:val="both"/>
        <w:rPr>
          <w:color w:val="FF0000"/>
          <w:sz w:val="24"/>
          <w:szCs w:val="24"/>
        </w:rPr>
      </w:pPr>
    </w:p>
    <w:p w14:paraId="2E89700E">
      <w:pPr>
        <w:pStyle w:val="11"/>
        <w:ind w:firstLine="0"/>
        <w:jc w:val="both"/>
        <w:rPr>
          <w:color w:val="FF0000"/>
          <w:sz w:val="24"/>
          <w:szCs w:val="24"/>
        </w:rPr>
      </w:pPr>
    </w:p>
    <w:p w14:paraId="67A9C254">
      <w:pPr>
        <w:pStyle w:val="11"/>
        <w:ind w:firstLine="0"/>
        <w:jc w:val="both"/>
        <w:rPr>
          <w:color w:val="FF0000"/>
          <w:sz w:val="24"/>
          <w:szCs w:val="24"/>
        </w:rPr>
      </w:pPr>
    </w:p>
    <w:p w14:paraId="5C4134CC">
      <w:pPr>
        <w:pStyle w:val="11"/>
        <w:ind w:firstLine="0"/>
        <w:jc w:val="both"/>
        <w:rPr>
          <w:color w:val="FF0000"/>
          <w:sz w:val="24"/>
          <w:szCs w:val="24"/>
        </w:rPr>
      </w:pPr>
    </w:p>
    <w:p w14:paraId="6277C772">
      <w:pPr>
        <w:pStyle w:val="11"/>
        <w:jc w:val="both"/>
        <w:rPr>
          <w:color w:val="FF0000"/>
          <w:sz w:val="24"/>
          <w:szCs w:val="24"/>
        </w:rPr>
      </w:pPr>
    </w:p>
    <w:sectPr>
      <w:pgSz w:w="11900" w:h="16840"/>
      <w:pgMar w:top="709" w:right="812" w:bottom="851" w:left="1670" w:header="0" w:footer="888" w:gutter="0"/>
      <w:pgNumType w:start="2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0002EFF" w:usb1="C000247B" w:usb2="00000009" w:usb3="00000000" w:csb0="200001FF" w:csb1="00000000"/>
  </w:font>
  <w:font w:name="ヒラギノ角ゴ Pro W3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2"/>
  </w:compat>
  <w:rsids>
    <w:rsidRoot w:val="005D7F2B"/>
    <w:rsid w:val="00014CFD"/>
    <w:rsid w:val="00022822"/>
    <w:rsid w:val="000316CB"/>
    <w:rsid w:val="00046721"/>
    <w:rsid w:val="000847B3"/>
    <w:rsid w:val="000869CD"/>
    <w:rsid w:val="00086FF1"/>
    <w:rsid w:val="000B2BCB"/>
    <w:rsid w:val="000C1AC0"/>
    <w:rsid w:val="000D2551"/>
    <w:rsid w:val="000F3B6F"/>
    <w:rsid w:val="00104F29"/>
    <w:rsid w:val="00112567"/>
    <w:rsid w:val="001135AD"/>
    <w:rsid w:val="00123461"/>
    <w:rsid w:val="00125A1D"/>
    <w:rsid w:val="001378B1"/>
    <w:rsid w:val="00141BB8"/>
    <w:rsid w:val="00151753"/>
    <w:rsid w:val="001612F5"/>
    <w:rsid w:val="00173D04"/>
    <w:rsid w:val="00176782"/>
    <w:rsid w:val="001816C5"/>
    <w:rsid w:val="001944B2"/>
    <w:rsid w:val="001A1C0A"/>
    <w:rsid w:val="001B63F4"/>
    <w:rsid w:val="00206B48"/>
    <w:rsid w:val="00212688"/>
    <w:rsid w:val="0022270E"/>
    <w:rsid w:val="002268B1"/>
    <w:rsid w:val="0023046B"/>
    <w:rsid w:val="0023361A"/>
    <w:rsid w:val="00237DA9"/>
    <w:rsid w:val="002448DD"/>
    <w:rsid w:val="0024568A"/>
    <w:rsid w:val="00252812"/>
    <w:rsid w:val="00254B3A"/>
    <w:rsid w:val="0025711B"/>
    <w:rsid w:val="00260FED"/>
    <w:rsid w:val="0029704A"/>
    <w:rsid w:val="002B43A5"/>
    <w:rsid w:val="002C5DD3"/>
    <w:rsid w:val="002D435E"/>
    <w:rsid w:val="002E61F1"/>
    <w:rsid w:val="002F7E84"/>
    <w:rsid w:val="00310718"/>
    <w:rsid w:val="003279A3"/>
    <w:rsid w:val="003305FD"/>
    <w:rsid w:val="00331731"/>
    <w:rsid w:val="00367603"/>
    <w:rsid w:val="003715A5"/>
    <w:rsid w:val="00383B39"/>
    <w:rsid w:val="003857DA"/>
    <w:rsid w:val="003B38BB"/>
    <w:rsid w:val="003D0617"/>
    <w:rsid w:val="003D0E0B"/>
    <w:rsid w:val="003E1F6B"/>
    <w:rsid w:val="003E7E11"/>
    <w:rsid w:val="003F216C"/>
    <w:rsid w:val="0042618A"/>
    <w:rsid w:val="004369C8"/>
    <w:rsid w:val="004478C0"/>
    <w:rsid w:val="0045448E"/>
    <w:rsid w:val="004573AC"/>
    <w:rsid w:val="00473E4E"/>
    <w:rsid w:val="00474DCF"/>
    <w:rsid w:val="004808E3"/>
    <w:rsid w:val="00486E8C"/>
    <w:rsid w:val="0049383D"/>
    <w:rsid w:val="00493C48"/>
    <w:rsid w:val="004A23E7"/>
    <w:rsid w:val="004A4A6D"/>
    <w:rsid w:val="004C5D53"/>
    <w:rsid w:val="004C6619"/>
    <w:rsid w:val="004D3243"/>
    <w:rsid w:val="004F01D6"/>
    <w:rsid w:val="0050439D"/>
    <w:rsid w:val="00505C93"/>
    <w:rsid w:val="005238FD"/>
    <w:rsid w:val="00524627"/>
    <w:rsid w:val="00530E86"/>
    <w:rsid w:val="00551DF3"/>
    <w:rsid w:val="005569E1"/>
    <w:rsid w:val="005A0DA9"/>
    <w:rsid w:val="005B4BE3"/>
    <w:rsid w:val="005B5BEB"/>
    <w:rsid w:val="005C083D"/>
    <w:rsid w:val="005D7F2B"/>
    <w:rsid w:val="00602AE7"/>
    <w:rsid w:val="006063D5"/>
    <w:rsid w:val="006107ED"/>
    <w:rsid w:val="0061185E"/>
    <w:rsid w:val="00616568"/>
    <w:rsid w:val="00616EBD"/>
    <w:rsid w:val="00620B1E"/>
    <w:rsid w:val="00626E50"/>
    <w:rsid w:val="00647038"/>
    <w:rsid w:val="00647557"/>
    <w:rsid w:val="00665527"/>
    <w:rsid w:val="00674D51"/>
    <w:rsid w:val="00687D74"/>
    <w:rsid w:val="00691FB9"/>
    <w:rsid w:val="00695A7D"/>
    <w:rsid w:val="006A1095"/>
    <w:rsid w:val="006A46B6"/>
    <w:rsid w:val="006B3467"/>
    <w:rsid w:val="006F2D96"/>
    <w:rsid w:val="00723497"/>
    <w:rsid w:val="00724427"/>
    <w:rsid w:val="0073574D"/>
    <w:rsid w:val="007360A1"/>
    <w:rsid w:val="00750527"/>
    <w:rsid w:val="0075632D"/>
    <w:rsid w:val="0076338E"/>
    <w:rsid w:val="00773C97"/>
    <w:rsid w:val="007821AF"/>
    <w:rsid w:val="00783F92"/>
    <w:rsid w:val="00786D71"/>
    <w:rsid w:val="007A1868"/>
    <w:rsid w:val="007C0FC3"/>
    <w:rsid w:val="007E4756"/>
    <w:rsid w:val="007E508F"/>
    <w:rsid w:val="007E5DB2"/>
    <w:rsid w:val="008373F8"/>
    <w:rsid w:val="00851A67"/>
    <w:rsid w:val="008612EE"/>
    <w:rsid w:val="00871664"/>
    <w:rsid w:val="00886588"/>
    <w:rsid w:val="008A32AD"/>
    <w:rsid w:val="008B0608"/>
    <w:rsid w:val="008B64A9"/>
    <w:rsid w:val="008D0166"/>
    <w:rsid w:val="008E4403"/>
    <w:rsid w:val="009057BA"/>
    <w:rsid w:val="00906109"/>
    <w:rsid w:val="009145BD"/>
    <w:rsid w:val="009167F1"/>
    <w:rsid w:val="00921031"/>
    <w:rsid w:val="0093086A"/>
    <w:rsid w:val="00937D62"/>
    <w:rsid w:val="00952DAB"/>
    <w:rsid w:val="00953589"/>
    <w:rsid w:val="00957226"/>
    <w:rsid w:val="0096734D"/>
    <w:rsid w:val="0097659B"/>
    <w:rsid w:val="0098722B"/>
    <w:rsid w:val="009915FD"/>
    <w:rsid w:val="009B239D"/>
    <w:rsid w:val="009B37DA"/>
    <w:rsid w:val="009C5148"/>
    <w:rsid w:val="009E21A1"/>
    <w:rsid w:val="009F747E"/>
    <w:rsid w:val="00A06FFA"/>
    <w:rsid w:val="00A16CE2"/>
    <w:rsid w:val="00A2573E"/>
    <w:rsid w:val="00A312BB"/>
    <w:rsid w:val="00A32280"/>
    <w:rsid w:val="00A322D1"/>
    <w:rsid w:val="00A400BA"/>
    <w:rsid w:val="00A4760A"/>
    <w:rsid w:val="00A63635"/>
    <w:rsid w:val="00A63A90"/>
    <w:rsid w:val="00A67DB8"/>
    <w:rsid w:val="00A70449"/>
    <w:rsid w:val="00A7385E"/>
    <w:rsid w:val="00A84390"/>
    <w:rsid w:val="00A9100D"/>
    <w:rsid w:val="00A92FAA"/>
    <w:rsid w:val="00A96BE5"/>
    <w:rsid w:val="00AA0D43"/>
    <w:rsid w:val="00AD0CAA"/>
    <w:rsid w:val="00AF6D9D"/>
    <w:rsid w:val="00B025A7"/>
    <w:rsid w:val="00B02B95"/>
    <w:rsid w:val="00B03F26"/>
    <w:rsid w:val="00B23848"/>
    <w:rsid w:val="00B33670"/>
    <w:rsid w:val="00B50078"/>
    <w:rsid w:val="00B50417"/>
    <w:rsid w:val="00B53EF6"/>
    <w:rsid w:val="00B723B8"/>
    <w:rsid w:val="00B911CF"/>
    <w:rsid w:val="00BA5ED8"/>
    <w:rsid w:val="00BC65B1"/>
    <w:rsid w:val="00BE67CB"/>
    <w:rsid w:val="00BF3620"/>
    <w:rsid w:val="00C0280B"/>
    <w:rsid w:val="00C13B60"/>
    <w:rsid w:val="00C142D1"/>
    <w:rsid w:val="00C16C85"/>
    <w:rsid w:val="00C25714"/>
    <w:rsid w:val="00C52368"/>
    <w:rsid w:val="00C77BC2"/>
    <w:rsid w:val="00CC7D7B"/>
    <w:rsid w:val="00CD4FED"/>
    <w:rsid w:val="00CE5918"/>
    <w:rsid w:val="00CE68AE"/>
    <w:rsid w:val="00CF33E8"/>
    <w:rsid w:val="00D057AF"/>
    <w:rsid w:val="00D30DFD"/>
    <w:rsid w:val="00D31970"/>
    <w:rsid w:val="00D337AE"/>
    <w:rsid w:val="00D4177C"/>
    <w:rsid w:val="00D41DEC"/>
    <w:rsid w:val="00D4395B"/>
    <w:rsid w:val="00D60213"/>
    <w:rsid w:val="00D7624B"/>
    <w:rsid w:val="00D9768F"/>
    <w:rsid w:val="00DB57ED"/>
    <w:rsid w:val="00DC7FCE"/>
    <w:rsid w:val="00DD1952"/>
    <w:rsid w:val="00DD3BE5"/>
    <w:rsid w:val="00DD51D5"/>
    <w:rsid w:val="00DD746D"/>
    <w:rsid w:val="00DE7D28"/>
    <w:rsid w:val="00DF0F86"/>
    <w:rsid w:val="00DF181C"/>
    <w:rsid w:val="00DF30F0"/>
    <w:rsid w:val="00DF599B"/>
    <w:rsid w:val="00E23F14"/>
    <w:rsid w:val="00E53141"/>
    <w:rsid w:val="00E85E38"/>
    <w:rsid w:val="00E86AF6"/>
    <w:rsid w:val="00E92E0F"/>
    <w:rsid w:val="00EA1F29"/>
    <w:rsid w:val="00EB4C45"/>
    <w:rsid w:val="00EC0714"/>
    <w:rsid w:val="00ED12C5"/>
    <w:rsid w:val="00F16561"/>
    <w:rsid w:val="00F25287"/>
    <w:rsid w:val="00F31D29"/>
    <w:rsid w:val="00F327D6"/>
    <w:rsid w:val="00F359D7"/>
    <w:rsid w:val="00F37FED"/>
    <w:rsid w:val="00F43D1F"/>
    <w:rsid w:val="00F5368E"/>
    <w:rsid w:val="00F77675"/>
    <w:rsid w:val="00F8046E"/>
    <w:rsid w:val="00F94C01"/>
    <w:rsid w:val="00F94F2A"/>
    <w:rsid w:val="00FB5E20"/>
    <w:rsid w:val="00FE1E51"/>
    <w:rsid w:val="00FE59B4"/>
    <w:rsid w:val="38827077"/>
    <w:rsid w:val="50FA4267"/>
    <w:rsid w:val="51D152C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ourier New" w:hAnsi="Courier New" w:eastAsia="Courier New" w:cs="Courier Ne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</w:pPr>
    <w:rPr>
      <w:rFonts w:ascii="Courier New" w:hAnsi="Courier New" w:eastAsia="Courier New" w:cs="Courier New"/>
      <w:color w:val="000000"/>
      <w:sz w:val="24"/>
      <w:szCs w:val="24"/>
      <w:lang w:val="ru-RU" w:eastAsia="ru-RU" w:bidi="ru-RU"/>
    </w:rPr>
  </w:style>
  <w:style w:type="paragraph" w:styleId="2">
    <w:name w:val="heading 1"/>
    <w:basedOn w:val="1"/>
    <w:next w:val="1"/>
    <w:link w:val="24"/>
    <w:qFormat/>
    <w:uiPriority w:val="99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 w:eastAsiaTheme="minorEastAsia"/>
      <w:b/>
      <w:bCs/>
      <w:color w:val="26282F"/>
      <w:lang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head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8">
    <w:name w:val="footer"/>
    <w:basedOn w:val="1"/>
    <w:link w:val="20"/>
    <w:unhideWhenUsed/>
    <w:qFormat/>
    <w:uiPriority w:val="99"/>
    <w:pPr>
      <w:tabs>
        <w:tab w:val="center" w:pos="4677"/>
        <w:tab w:val="right" w:pos="9355"/>
      </w:tabs>
    </w:pPr>
  </w:style>
  <w:style w:type="table" w:styleId="9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Основной текст_"/>
    <w:basedOn w:val="3"/>
    <w:link w:val="11"/>
    <w:qFormat/>
    <w:uiPriority w:val="0"/>
    <w:rPr>
      <w:rFonts w:ascii="Times New Roman" w:hAnsi="Times New Roman" w:eastAsia="Times New Roman" w:cs="Times New Roman"/>
      <w:sz w:val="28"/>
      <w:szCs w:val="28"/>
      <w:u w:val="none"/>
    </w:rPr>
  </w:style>
  <w:style w:type="paragraph" w:customStyle="1" w:styleId="11">
    <w:name w:val="Основной текст1"/>
    <w:basedOn w:val="1"/>
    <w:link w:val="10"/>
    <w:qFormat/>
    <w:uiPriority w:val="0"/>
    <w:pPr>
      <w:ind w:firstLine="400"/>
    </w:pPr>
    <w:rPr>
      <w:rFonts w:ascii="Times New Roman" w:hAnsi="Times New Roman" w:eastAsia="Times New Roman" w:cs="Times New Roman"/>
      <w:sz w:val="28"/>
      <w:szCs w:val="28"/>
    </w:rPr>
  </w:style>
  <w:style w:type="character" w:customStyle="1" w:styleId="12">
    <w:name w:val="Заголовок №1_"/>
    <w:basedOn w:val="3"/>
    <w:link w:val="13"/>
    <w:qFormat/>
    <w:uiPriority w:val="0"/>
    <w:rPr>
      <w:rFonts w:ascii="Arial" w:hAnsi="Arial" w:eastAsia="Arial" w:cs="Arial"/>
      <w:b/>
      <w:bCs/>
      <w:sz w:val="36"/>
      <w:szCs w:val="36"/>
      <w:u w:val="none"/>
    </w:rPr>
  </w:style>
  <w:style w:type="paragraph" w:customStyle="1" w:styleId="13">
    <w:name w:val="Заголовок №1"/>
    <w:basedOn w:val="1"/>
    <w:link w:val="12"/>
    <w:qFormat/>
    <w:uiPriority w:val="0"/>
    <w:pPr>
      <w:spacing w:after="460"/>
      <w:jc w:val="center"/>
      <w:outlineLvl w:val="0"/>
    </w:pPr>
    <w:rPr>
      <w:rFonts w:ascii="Arial" w:hAnsi="Arial" w:eastAsia="Arial" w:cs="Arial"/>
      <w:b/>
      <w:bCs/>
      <w:sz w:val="36"/>
      <w:szCs w:val="36"/>
    </w:rPr>
  </w:style>
  <w:style w:type="character" w:customStyle="1" w:styleId="14">
    <w:name w:val="Заголовок №2_"/>
    <w:basedOn w:val="3"/>
    <w:link w:val="15"/>
    <w:qFormat/>
    <w:uiPriority w:val="0"/>
    <w:rPr>
      <w:rFonts w:ascii="Arial" w:hAnsi="Arial" w:eastAsia="Arial" w:cs="Arial"/>
      <w:sz w:val="28"/>
      <w:szCs w:val="28"/>
      <w:u w:val="none"/>
    </w:rPr>
  </w:style>
  <w:style w:type="paragraph" w:customStyle="1" w:styleId="15">
    <w:name w:val="Заголовок №2"/>
    <w:basedOn w:val="1"/>
    <w:link w:val="14"/>
    <w:qFormat/>
    <w:uiPriority w:val="0"/>
    <w:pPr>
      <w:spacing w:after="240"/>
      <w:outlineLvl w:val="1"/>
    </w:pPr>
    <w:rPr>
      <w:rFonts w:ascii="Arial" w:hAnsi="Arial" w:eastAsia="Arial" w:cs="Arial"/>
      <w:sz w:val="28"/>
      <w:szCs w:val="28"/>
    </w:rPr>
  </w:style>
  <w:style w:type="character" w:customStyle="1" w:styleId="16">
    <w:name w:val="Колонтитул (2)_"/>
    <w:basedOn w:val="3"/>
    <w:link w:val="17"/>
    <w:qFormat/>
    <w:uiPriority w:val="0"/>
    <w:rPr>
      <w:rFonts w:ascii="Times New Roman" w:hAnsi="Times New Roman" w:eastAsia="Times New Roman" w:cs="Times New Roman"/>
      <w:sz w:val="20"/>
      <w:szCs w:val="20"/>
      <w:u w:val="none"/>
    </w:rPr>
  </w:style>
  <w:style w:type="paragraph" w:customStyle="1" w:styleId="17">
    <w:name w:val="Колонтитул (2)"/>
    <w:basedOn w:val="1"/>
    <w:link w:val="16"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character" w:customStyle="1" w:styleId="18">
    <w:name w:val="Текст выноски Знак"/>
    <w:basedOn w:val="3"/>
    <w:link w:val="6"/>
    <w:semiHidden/>
    <w:qFormat/>
    <w:uiPriority w:val="99"/>
    <w:rPr>
      <w:rFonts w:ascii="Tahoma" w:hAnsi="Tahoma" w:cs="Tahoma"/>
      <w:color w:val="000000"/>
      <w:sz w:val="16"/>
      <w:szCs w:val="16"/>
    </w:rPr>
  </w:style>
  <w:style w:type="character" w:customStyle="1" w:styleId="19">
    <w:name w:val="Верхний колонтитул Знак"/>
    <w:basedOn w:val="3"/>
    <w:link w:val="7"/>
    <w:qFormat/>
    <w:uiPriority w:val="99"/>
    <w:rPr>
      <w:color w:val="000000"/>
    </w:rPr>
  </w:style>
  <w:style w:type="character" w:customStyle="1" w:styleId="20">
    <w:name w:val="Нижний колонтитул Знак"/>
    <w:basedOn w:val="3"/>
    <w:link w:val="8"/>
    <w:qFormat/>
    <w:uiPriority w:val="99"/>
    <w:rPr>
      <w:color w:val="000000"/>
    </w:rPr>
  </w:style>
  <w:style w:type="table" w:customStyle="1" w:styleId="21">
    <w:name w:val="Сетка таблицы1"/>
    <w:basedOn w:val="4"/>
    <w:qFormat/>
    <w:uiPriority w:val="39"/>
    <w:rPr>
      <w:rFonts w:ascii="Calibri" w:hAnsi="Calibri" w:eastAsia="Calibri" w:cs="Times New Roman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Гипертекстовая ссылка"/>
    <w:basedOn w:val="3"/>
    <w:qFormat/>
    <w:uiPriority w:val="99"/>
    <w:rPr>
      <w:rFonts w:cs="Times New Roman"/>
      <w:color w:val="106BBE"/>
    </w:rPr>
  </w:style>
  <w:style w:type="character" w:customStyle="1" w:styleId="24">
    <w:name w:val="Заголовок 1 Знак"/>
    <w:basedOn w:val="3"/>
    <w:link w:val="2"/>
    <w:qFormat/>
    <w:uiPriority w:val="9"/>
    <w:rPr>
      <w:rFonts w:ascii="Times New Roman CYR" w:hAnsi="Times New Roman CYR" w:cs="Times New Roman CYR" w:eastAsiaTheme="minorEastAsia"/>
      <w:b/>
      <w:bCs/>
      <w:color w:val="26282F"/>
      <w:lang w:bidi="ar-SA"/>
    </w:rPr>
  </w:style>
  <w:style w:type="paragraph" w:customStyle="1" w:styleId="25">
    <w:name w:val="Комментарий"/>
    <w:basedOn w:val="1"/>
    <w:next w:val="1"/>
    <w:qFormat/>
    <w:uiPriority w:val="99"/>
    <w:pPr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 w:eastAsiaTheme="minorEastAsia"/>
      <w:color w:val="353842"/>
      <w:lang w:bidi="ar-SA"/>
    </w:rPr>
  </w:style>
  <w:style w:type="character" w:customStyle="1" w:styleId="26">
    <w:name w:val="Цветовое выделение"/>
    <w:qFormat/>
    <w:uiPriority w:val="99"/>
    <w:rPr>
      <w:b/>
      <w:color w:val="26282F"/>
    </w:rPr>
  </w:style>
  <w:style w:type="paragraph" w:customStyle="1" w:styleId="27">
    <w:name w:val="Нормальный (таблица)"/>
    <w:basedOn w:val="1"/>
    <w:next w:val="1"/>
    <w:qFormat/>
    <w:uiPriority w:val="99"/>
    <w:pPr>
      <w:autoSpaceDE w:val="0"/>
      <w:autoSpaceDN w:val="0"/>
      <w:adjustRightInd w:val="0"/>
      <w:jc w:val="both"/>
    </w:pPr>
    <w:rPr>
      <w:rFonts w:ascii="Times New Roman CYR" w:hAnsi="Times New Roman CYR" w:cs="Times New Roman CYR" w:eastAsiaTheme="minorEastAsia"/>
      <w:color w:val="auto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CA24E-3408-4A5B-BDBF-3B08DC1543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12</Pages>
  <Words>3841</Words>
  <Characters>27695</Characters>
  <Lines>246</Lines>
  <Paragraphs>66</Paragraphs>
  <TotalTime>577</TotalTime>
  <ScaleCrop>false</ScaleCrop>
  <LinksUpToDate>false</LinksUpToDate>
  <CharactersWithSpaces>31748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2026-10-09T06:26:00Z</dcterms:created>
  <dc:creator>User</dc:creator>
  <cp:lastModifiedBy>WPS_1784523208</cp:lastModifiedBy>
  <cp:lastPrinted>2026-10-22T05:04:00Z</cp:lastPrinted>
  <dcterms:modified xsi:type="dcterms:W3CDTF">2026-10-30T10:35:28Z</dcterms:modified>
  <dc:title>Untitled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eyJoZGlkIjoiMzliYjBmYjhmMjQ1OWY1M2VlMTY1Njg0ZGFjMDZkZjAiLCJ1c2VySWQiOiI4MjQ2Mzc1ODE1ODMifQ==</vt:lpwstr>
  </property>
  <property fmtid="{D5CDD505-2E9C-101B-9397-08002B2CF9AE}" pid="3" name="KSOProductBuildVer">
    <vt:lpwstr>1049-12.1.0.29162</vt:lpwstr>
  </property>
  <property fmtid="{D5CDD505-2E9C-101B-9397-08002B2CF9AE}" pid="4" name="ICV">
    <vt:lpwstr>29E49E5982054EDE860D86FFE8D9570D_12</vt:lpwstr>
  </property>
</Properties>
</file>